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 Цель лабораторной работы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2. Задание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 Поэтапное выполнение лабораторной работы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sz w:val="28"/>
              <w:szCs w:val="28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4. </w:t>
            </w:r>
          </w:hyperlink>
          <w:hyperlink w:anchor="_3dy6vkm">
            <w:r w:rsidDel="00000000" w:rsidR="00000000" w:rsidRPr="00000000">
              <w:rPr>
                <w:color w:val="0563c1"/>
                <w:sz w:val="28"/>
                <w:szCs w:val="28"/>
                <w:u w:val="single"/>
                <w:rtl w:val="0"/>
              </w:rPr>
              <w:t xml:space="preserve">Тест кейс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pos="9348"/>
            </w:tabs>
            <w:spacing w:line="360" w:lineRule="auto"/>
            <w:rPr>
              <w:rFonts w:ascii="Calibri" w:cs="Calibri" w:eastAsia="Calibri" w:hAnsi="Calibri"/>
              <w:sz w:val="28"/>
              <w:szCs w:val="28"/>
            </w:rPr>
          </w:pPr>
          <w:hyperlink w:anchor="_3dy6vkm">
            <w:r w:rsidDel="00000000" w:rsidR="00000000" w:rsidRPr="00000000">
              <w:rPr>
                <w:color w:val="0563c1"/>
                <w:sz w:val="28"/>
                <w:szCs w:val="28"/>
                <w:u w:val="single"/>
                <w:rtl w:val="0"/>
              </w:rPr>
              <w:t xml:space="preserve">5. Графический интерфейс</w:t>
            </w:r>
          </w:hyperlink>
          <w:hyperlink w:anchor="_3dy6vkm"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5</w:t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Вывод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0"/>
      <w:bookmarkEnd w:id="0"/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лабораторной работы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3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1"/>
      <w:bookmarkEnd w:id="1"/>
      <w:r w:rsidDel="00000000" w:rsidR="00000000" w:rsidRPr="00000000">
        <w:rPr>
          <w:sz w:val="24"/>
          <w:szCs w:val="24"/>
          <w:rtl w:val="0"/>
        </w:rPr>
        <w:t xml:space="preserve">Написать тест кейсы, позволяющие детально протестировать функционал (по возможности используя техники тест дизайна), соответствующие вашей 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Задание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</w:rPr>
      </w:pPr>
      <w:bookmarkStart w:colFirst="0" w:colLast="0" w:name="_l6caxbalhay7" w:id="2"/>
      <w:bookmarkEnd w:id="2"/>
      <w:r w:rsidDel="00000000" w:rsidR="00000000" w:rsidRPr="00000000">
        <w:rPr>
          <w:sz w:val="24"/>
          <w:szCs w:val="24"/>
          <w:rtl w:val="0"/>
        </w:rPr>
        <w:t xml:space="preserve"> 1. Ваш проект «Реализация системы библиотека». Нужно описать тест кейсы на функционал «Регистрация пользователя». Путь к форме регистрации: главная страничка сайта, кнопка «Регистрация». Дизайн с комментариями прилагается.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Поэтапное выполнение лабораторной работы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3dy6vkm" w:id="3"/>
      <w:bookmarkEnd w:id="3"/>
      <w:r w:rsidDel="00000000" w:rsidR="00000000" w:rsidRPr="00000000">
        <w:rPr>
          <w:sz w:val="24"/>
          <w:szCs w:val="24"/>
          <w:rtl w:val="0"/>
        </w:rPr>
        <w:t xml:space="preserve">            1. Смоделировать форму ввода и вывода, для поэтапного принятия информации.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4dlfqasa0mcb" w:id="4"/>
      <w:bookmarkEnd w:id="4"/>
      <w:r w:rsidDel="00000000" w:rsidR="00000000" w:rsidRPr="00000000">
        <w:rPr>
          <w:sz w:val="24"/>
          <w:szCs w:val="24"/>
          <w:rtl w:val="0"/>
        </w:rPr>
        <w:t xml:space="preserve">          2. Оформить таблицу тест кейсов с запросами и результатами как отдельных полей, так и общего процесса регистрации. (таблица 1)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n3d01y92dqfs" w:id="5"/>
      <w:bookmarkEnd w:id="5"/>
      <w:r w:rsidDel="00000000" w:rsidR="00000000" w:rsidRPr="00000000">
        <w:rPr>
          <w:sz w:val="24"/>
          <w:szCs w:val="24"/>
          <w:rtl w:val="0"/>
        </w:rPr>
        <w:t xml:space="preserve">       3. Оформить макет графического интерфейса (рисунок 1) и комментарии к нему (таблица 2)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pvnky5qbjiv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ml8498membg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44qud0e020b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s4se9w7ww5y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tlkp00gfdbw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t8izdobl06q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2mr37mtu8o8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ibsce38dub4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kd2us4xhgt4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paqbc29drxa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7ndlr7n5ltg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5fqjr0u0jcy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8tc3c2knkui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Тест кейсы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120" w:before="240" w:line="360" w:lineRule="auto"/>
        <w:ind w:right="113" w:firstLine="851"/>
        <w:jc w:val="right"/>
        <w:rPr>
          <w:sz w:val="24"/>
          <w:szCs w:val="24"/>
        </w:rPr>
      </w:pPr>
      <w:bookmarkStart w:colFirst="0" w:colLast="0" w:name="_q6aypyrpf1x3" w:id="19"/>
      <w:bookmarkEnd w:id="19"/>
      <w:r w:rsidDel="00000000" w:rsidR="00000000" w:rsidRPr="00000000">
        <w:rPr>
          <w:sz w:val="24"/>
          <w:szCs w:val="24"/>
          <w:rtl w:val="0"/>
        </w:rPr>
        <w:t xml:space="preserve">Таблица 1 - Комментарии к Графическому интерфейсу.</w:t>
      </w:r>
    </w:p>
    <w:tbl>
      <w:tblPr>
        <w:tblStyle w:val="Table1"/>
        <w:tblW w:w="9358.807947019866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2010"/>
        <w:gridCol w:w="2625"/>
        <w:gridCol w:w="1239.6026490066224"/>
        <w:gridCol w:w="1239.6026490066224"/>
        <w:gridCol w:w="1239.6026490066224"/>
        <w:tblGridChange w:id="0">
          <w:tblGrid>
            <w:gridCol w:w="1005"/>
            <w:gridCol w:w="2010"/>
            <w:gridCol w:w="2625"/>
            <w:gridCol w:w="1239.6026490066224"/>
            <w:gridCol w:w="1239.6026490066224"/>
            <w:gridCol w:w="1239.602649006622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 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Expection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Result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abcd@fokjwe.fqeiafq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abcd123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PASSED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Confir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abcd123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PASSED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Full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Ablkdsa Sbxlk Skjgd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PASSED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License agreement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PASSED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abcdfokjwe.fqeiafq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abcd123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PASSED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Confir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abcd1234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PASSED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Full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Ablkdsa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PASSED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License agreement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PASSED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abcd@fokjwefqeiafq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PASSED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Confir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abcd123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PASSED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Full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1Ablkdsa Sbxlk Skjgd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PASSED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License agreement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PASSED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0"/>
        <w:jc w:val="left"/>
        <w:rPr>
          <w:sz w:val="28"/>
          <w:szCs w:val="28"/>
        </w:rPr>
      </w:pPr>
      <w:bookmarkStart w:colFirst="0" w:colLast="0" w:name="_1mmlw68r445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0"/>
        <w:jc w:val="left"/>
        <w:rPr>
          <w:sz w:val="28"/>
          <w:szCs w:val="28"/>
        </w:rPr>
      </w:pPr>
      <w:bookmarkStart w:colFirst="0" w:colLast="0" w:name="_qihrb7w5vcn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0"/>
        <w:jc w:val="left"/>
        <w:rPr>
          <w:sz w:val="28"/>
          <w:szCs w:val="28"/>
        </w:rPr>
      </w:pPr>
      <w:bookmarkStart w:colFirst="0" w:colLast="0" w:name="_fc5no166nfa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0"/>
        <w:jc w:val="left"/>
        <w:rPr>
          <w:sz w:val="24"/>
          <w:szCs w:val="24"/>
        </w:rPr>
      </w:pPr>
      <w:bookmarkStart w:colFirst="0" w:colLast="0" w:name="_tltpc9x9u194" w:id="23"/>
      <w:bookmarkEnd w:id="23"/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0">
      <w:pPr>
        <w:keepNext w:val="1"/>
        <w:widowControl w:val="0"/>
        <w:spacing w:after="240" w:before="240" w:line="360" w:lineRule="auto"/>
        <w:ind w:firstLine="85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Графический интерфейс</w:t>
        <w:br w:type="textWrapping"/>
      </w:r>
      <w:r w:rsidDel="00000000" w:rsidR="00000000" w:rsidRPr="00000000">
        <w:rPr>
          <w:sz w:val="24"/>
          <w:szCs w:val="24"/>
          <w:rtl w:val="0"/>
        </w:rPr>
        <w:tab/>
        <w:t xml:space="preserve"> В результате работы был так же разработан макет дизайна регистрационной формы. (рисунок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720" w:right="113" w:firstLine="0"/>
        <w:jc w:val="center"/>
        <w:rPr>
          <w:sz w:val="28"/>
          <w:szCs w:val="28"/>
        </w:rPr>
      </w:pPr>
      <w:bookmarkStart w:colFirst="0" w:colLast="0" w:name="_61wchq6qe19b" w:id="24"/>
      <w:bookmarkEnd w:id="24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09825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720" w:right="113" w:firstLine="0"/>
        <w:jc w:val="center"/>
        <w:rPr>
          <w:sz w:val="28"/>
          <w:szCs w:val="28"/>
        </w:rPr>
      </w:pPr>
      <w:bookmarkStart w:colFirst="0" w:colLast="0" w:name="_p4w3ofn9l3u" w:id="25"/>
      <w:bookmarkEnd w:id="25"/>
      <w:r w:rsidDel="00000000" w:rsidR="00000000" w:rsidRPr="00000000">
        <w:rPr>
          <w:sz w:val="28"/>
          <w:szCs w:val="28"/>
          <w:rtl w:val="0"/>
        </w:rPr>
        <w:t xml:space="preserve">Рисунок 2 - Макет дизайна формы.</w:t>
      </w:r>
    </w:p>
    <w:p w:rsidR="00000000" w:rsidDel="00000000" w:rsidP="00000000" w:rsidRDefault="00000000" w:rsidRPr="00000000" w14:paraId="000000D3">
      <w:pPr>
        <w:widowControl w:val="0"/>
        <w:spacing w:after="120" w:before="240" w:line="360" w:lineRule="auto"/>
        <w:ind w:right="113" w:firstLine="851"/>
        <w:jc w:val="left"/>
        <w:rPr>
          <w:sz w:val="24"/>
          <w:szCs w:val="24"/>
        </w:rPr>
      </w:pPr>
      <w:bookmarkStart w:colFirst="0" w:colLast="0" w:name="_1mmlw68r445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120" w:before="240" w:line="360" w:lineRule="auto"/>
        <w:ind w:right="113" w:firstLine="851"/>
        <w:jc w:val="right"/>
        <w:rPr>
          <w:sz w:val="24"/>
          <w:szCs w:val="24"/>
        </w:rPr>
      </w:pPr>
      <w:bookmarkStart w:colFirst="0" w:colLast="0" w:name="_q6aypyrpf1x3" w:id="19"/>
      <w:bookmarkEnd w:id="19"/>
      <w:r w:rsidDel="00000000" w:rsidR="00000000" w:rsidRPr="00000000">
        <w:rPr>
          <w:sz w:val="24"/>
          <w:szCs w:val="24"/>
          <w:rtl w:val="0"/>
        </w:rPr>
        <w:t xml:space="preserve">Таблица 2 - Комментарии к Графическому интерфейсу.</w:t>
      </w:r>
    </w:p>
    <w:tbl>
      <w:tblPr>
        <w:tblStyle w:val="Table2"/>
        <w:tblW w:w="105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8505"/>
        <w:tblGridChange w:id="0">
          <w:tblGrid>
            <w:gridCol w:w="2025"/>
            <w:gridCol w:w="8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Комментарий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color w:val="1f212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126"/>
                <w:sz w:val="24"/>
                <w:szCs w:val="24"/>
                <w:highlight w:val="white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f2126"/>
                <w:sz w:val="24"/>
                <w:szCs w:val="24"/>
                <w:highlight w:val="whit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 для ввода электронной почты, соотв. регулярному выражению /.+@.+\..+/</w:t>
            </w:r>
          </w:p>
        </w:tc>
      </w:tr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Поле ввода пароля для доступа к учетной записи,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соотв. регулярному выражению /.{3}.*/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f2126"/>
                <w:sz w:val="24"/>
                <w:szCs w:val="24"/>
                <w:highlight w:val="white"/>
                <w:rtl w:val="0"/>
              </w:rPr>
              <w:t xml:space="preserve">Confirm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Поле ввода пароля для доступа к учетной записи,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соотв. полю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f2126"/>
                <w:sz w:val="24"/>
                <w:szCs w:val="24"/>
                <w:highlight w:val="white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Поле ввода ФИО,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соотв. регулярному выражению /[A-Z][a-z]+{2|3|4|5}/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License Agreement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 для подтверждения согласия с пользовательским соглашением, напротив которого есть активная галочка, позволяющая подтвердить согласие.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Кнопка для отправки верной анкеты, которая была проверена на клиентской части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0"/>
        <w:jc w:val="left"/>
        <w:rPr>
          <w:sz w:val="28"/>
          <w:szCs w:val="28"/>
        </w:rPr>
      </w:pPr>
      <w:bookmarkStart w:colFirst="0" w:colLast="0" w:name="_9r18hlej6bm2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E8">
      <w:pPr>
        <w:spacing w:line="360" w:lineRule="auto"/>
        <w:ind w:firstLine="720"/>
        <w:jc w:val="both"/>
        <w:rPr>
          <w:sz w:val="24"/>
          <w:szCs w:val="24"/>
        </w:rPr>
      </w:pPr>
      <w:bookmarkStart w:colFirst="0" w:colLast="0" w:name="_ccfk72knnfeb" w:id="27"/>
      <w:bookmarkEnd w:id="27"/>
      <w:r w:rsidDel="00000000" w:rsidR="00000000" w:rsidRPr="00000000">
        <w:rPr>
          <w:sz w:val="24"/>
          <w:szCs w:val="24"/>
          <w:rtl w:val="0"/>
        </w:rPr>
        <w:t xml:space="preserve"> Написаны тест кейсы, позволяющие детально протестировать функционал, соответствующие форме регистрации в библиотеку.</w:t>
      </w:r>
    </w:p>
    <w:p w:rsidR="00000000" w:rsidDel="00000000" w:rsidP="00000000" w:rsidRDefault="00000000" w:rsidRPr="00000000" w14:paraId="000000E9">
      <w:pPr>
        <w:spacing w:line="360" w:lineRule="auto"/>
        <w:ind w:firstLine="720"/>
        <w:jc w:val="both"/>
        <w:rPr>
          <w:sz w:val="24"/>
          <w:szCs w:val="24"/>
        </w:rPr>
      </w:pPr>
      <w:bookmarkStart w:colFirst="0" w:colLast="0" w:name="_sbb9whsnf54z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btdf667hmw5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f2zq16nosg8v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bo92xhmievbs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5u37bz3su75b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yug8yqf67sui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ql60p5e4vvvi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psddq3bgkj4h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pz8x377ii4sg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58vvg76pmv7j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s1oyy3a16aza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kh8yagphfwot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vsqr6kjaz3tp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jelfe9xu7pwu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cnfdkwdolhez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xxi2kfz9wlu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qri3669mgq91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3qlog5ez9fb0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ifd5cbkzdbb9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9fih0rmeu8nb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em3euod1mh03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q95gk1egnoby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ranxtel70p9n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ump7z66sdhv1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638mz55gjj2w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 Справочник с примерами и задачами для подготовки к прохождению промежуточного и итогового тестирования по курсу высшей математики: в 2 ч. Ч. 1 [Электронный ресурс] : учебное пособие / Д.Н. Бикмухаметова [и др.]. — Электрон. дан. — Казань : КНИТУ, 2016. — 100 с. — Режим доступа: https://e.lanbook.com/book/101950.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 Справочник с примерами и задачами для подготовки к прохождению промежуточного и итогового тестирования по курсу высшей математики: в 2 ч. Ч. 2 [Электронный ресурс] : учебное пособие / Д.Н. Бикмухаметова [и др.]. — Электрон. дан. — Казань : КНИТУ, 2016. — 124 с. — Режим доступа: https://e.lanbook.com/book/101949.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3. Газизова, Н.Н. Подготовка к итоговому тестированию по математике в высшей школе. Банк тестов [Электронный ресурс] : учебное пособие / Н.Н. Газизова, О.М. Дегтярева, Р.Н. Хузиахметова. — Электрон. дан. — Казань : КНИТУ, 2013. — 235 с. — Режим доступа: https://e.lanbook.com/book/73359.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 Иванова, Л.Н. Лингводидактическое тестирование по английскому языку в начальной школе [Электронный ресурс] : учебное пособие / Л.Н. Иванова, Е.А. Иванова. — Электрон. дан. — Санкт-Петербург : , 2014. — 112 с. — Режим доступа: https://e.lanbook.com/book/91733.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Кокина, Л.М. Методические рекомендации по истории для подготовки к Интернет-тестированию для студентов бакалавриата направления 110800 «Агроинженерия» [Электронный ресурс] : методические рекомендации / Л.М. Кокина, Н.А. Лобкова, Т.С. Милюкова. — Электрон. дан. — Орел : ОрелГАУ, 2013. — 129 с. — Режим доступа: https://e.lanbook.com/book/71387. — Загл. с экрана.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first"/>
      <w:pgSz w:h="16834" w:w="11909"/>
      <w:pgMar w:bottom="1134" w:top="1134" w:left="1701" w:right="85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jc w:val="center"/>
      <w:rPr/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