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优化等离子诱导透明石墨烯超材料的机器学习和进化算法研究</w:t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摘要：</w:t>
      </w:r>
    </w:p>
    <w:p>
      <w:pPr>
        <w:pStyle w:val="正文.0"/>
        <w:bidi w:val="0"/>
      </w:pPr>
    </w:p>
    <w:p>
      <w:pPr>
        <w:pStyle w:val="正文.0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机器学习和优化算法已广泛应用于光子器件的设计和优化。我们简要回顾了该领域的最新进展，并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了用于新型石墨烯超材料（</w:t>
      </w:r>
      <w:r>
        <w:rPr>
          <w:rFonts w:cs="Arial Unicode MS" w:eastAsia="Arial Unicode MS"/>
          <w:rtl w:val="0"/>
          <w:lang w:val="en-US"/>
        </w:rPr>
        <w:t>GM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数据驱动应用，包括光谱预测，逆设计和性能优化。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优异设计的</w:t>
      </w:r>
      <w:r>
        <w:rPr>
          <w:rFonts w:cs="Arial Unicode MS" w:eastAsia="Arial Unicode MS"/>
          <w:rtl w:val="0"/>
          <w:lang w:val="en-US"/>
        </w:rPr>
        <w:t>GMs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结构，可实现宽带等离激元诱导的透明性（</w:t>
      </w:r>
      <w:r>
        <w:rPr>
          <w:rFonts w:cs="Arial Unicode MS" w:eastAsia="Arial Unicode MS"/>
          <w:rtl w:val="0"/>
        </w:rPr>
        <w:t>PIT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）效果，这在理论上可以通过转移矩阵方法证明。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一些传统的机器学习算法来等效地替代正演频谱预测中的数值模拟，，并完成了</w:t>
      </w:r>
      <w:r>
        <w:rPr>
          <w:rFonts w:cs="Arial Unicode MS" w:eastAsia="Arial Unicode MS"/>
          <w:rtl w:val="0"/>
          <w:lang w:val="en-US"/>
        </w:rPr>
        <w:t>GM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的逆向设计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包括</w:t>
      </w:r>
      <w:r>
        <w:rPr>
          <w:rFonts w:cs="Arial Unicode MS" w:eastAsia="Arial Unicode MS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最近邻，决策树，随机森林和人工神经网络。计算结果表明，所有算法都是有效的，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随机森林在准确性和训练速度上均具有优势。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除此之外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，通过综合考虑不同的性能指标，使用包括单目标（遗传算法）和多目标优化（</w:t>
      </w:r>
      <w:r>
        <w:rPr>
          <w:rFonts w:cs="Arial Unicode MS" w:eastAsia="Arial Unicode MS"/>
          <w:rtl w:val="0"/>
          <w:lang w:val="de-DE"/>
        </w:rPr>
        <w:t>NSGA-II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）在内的进化算法来实现</w:t>
      </w:r>
      <w:r>
        <w:rPr>
          <w:rFonts w:cs="Arial Unicode MS" w:eastAsia="Arial Unicode MS"/>
          <w:rtl w:val="0"/>
        </w:rPr>
        <w:t>PIT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效应的陡峭传递特性。在优化的传输频谱中，传输峰和谷之间的最大差达到</w:t>
      </w:r>
      <w:r>
        <w:rPr>
          <w:rFonts w:cs="Arial Unicode MS" w:eastAsia="Arial Unicode MS"/>
          <w:rtl w:val="0"/>
        </w:rPr>
        <w:t>0.97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。与以前的工作相比，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基于机器学习和进化算法的光子学设备的智能设计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，我们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提供了指南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。我们也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为选择简单逆设计问题的机器学习算法提供了参考。</w:t>
      </w:r>
    </w:p>
    <w:p>
      <w:pPr>
        <w:pStyle w:val="正文.0"/>
        <w:bidi w:val="0"/>
      </w:pPr>
    </w:p>
    <w:p>
      <w:pPr>
        <w:pStyle w:val="小标题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