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股光伏行业esg表现与股价相关性初探"/>
    <w:p>
      <w:pPr>
        <w:pStyle w:val="1"/>
      </w:pPr>
      <w:r>
        <w:t xml:space="preserve">A股光伏行业ESG表现与股价相关性初探</w:t>
      </w:r>
    </w:p>
    <w:bookmarkStart w:id="20" w:name="一研究背景与样本说明"/>
    <w:p>
      <w:pPr>
        <w:pStyle w:val="2"/>
      </w:pPr>
      <w:r>
        <w:t xml:space="preserve">一、研究背景与样本说明</w:t>
      </w:r>
    </w:p>
    <w:p>
      <w:pPr>
        <w:pStyle w:val="FirstParagraph"/>
      </w:pPr>
      <w:r>
        <w:t xml:space="preserve">本研究选取A股光伏行业8家代表性上市公司——隆基绿能（601012）、通威股份（600438）、晶科能源（688223）、晶澳科技（002459）、天合光能（688599）、TCL中环（002129）、阳光电源（300274）、阿特斯（688472）——作为研究样本。数据来源包括各公司2023年年度报告（</w:t>
      </w:r>
      <w:r>
        <w:t xml:space="preserve">“</w:t>
      </w:r>
      <w:r>
        <w:t xml:space="preserve">环境与社会责任</w:t>
      </w:r>
      <w:r>
        <w:t xml:space="preserve">”</w:t>
      </w:r>
      <w:r>
        <w:t xml:space="preserve">章节）、华证指数ESG评级，以及2024年全年前复权股价数据（Tushare/东方财富）。</w:t>
      </w:r>
    </w:p>
    <w:p>
      <w:pPr>
        <w:pStyle w:val="a0"/>
      </w:pPr>
      <w:r>
        <w:t xml:space="preserve">2024年光伏行业整体处于下行周期，产能过剩与价格战导致多数企业业绩承压，为检验ESG表现是否能在行业低谷期提供股价韧性提供了理想的研究窗口。</w:t>
      </w:r>
    </w:p>
    <w:bookmarkEnd w:id="20"/>
    <w:bookmarkStart w:id="21" w:name="二数据时间窗口选择依据"/>
    <w:p>
      <w:pPr>
        <w:pStyle w:val="2"/>
      </w:pPr>
      <w:r>
        <w:t xml:space="preserve">二、数据时间窗口选择依据</w:t>
      </w:r>
    </w:p>
    <w:p>
      <w:pPr>
        <w:pStyle w:val="FirstParagraph"/>
      </w:pPr>
      <w:r>
        <w:t xml:space="preserve">本研究采用</w:t>
      </w:r>
      <w:r>
        <w:rPr>
          <w:b/>
          <w:bCs/>
        </w:rPr>
        <w:t xml:space="preserve">2023年ESG数据</w:t>
      </w:r>
      <w:r>
        <w:t xml:space="preserve">与</w:t>
      </w:r>
      <w:r>
        <w:rPr>
          <w:b/>
          <w:bCs/>
        </w:rPr>
        <w:t xml:space="preserve">2024年股价涨跌幅</w:t>
      </w:r>
      <w:r>
        <w:t xml:space="preserve">进行匹配分析，时间窗口的选择基于以下三方面考量：</w:t>
      </w:r>
    </w:p>
    <w:p>
      <w:pPr>
        <w:pStyle w:val="a0"/>
      </w:pPr>
      <w:r>
        <w:rPr>
          <w:b/>
          <w:bCs/>
        </w:rPr>
        <w:t xml:space="preserve">（1）学术惯例：滞后一期设计（Lag=1）</w:t>
      </w:r>
    </w:p>
    <w:p>
      <w:pPr>
        <w:pStyle w:val="a0"/>
      </w:pPr>
      <w:r>
        <w:t xml:space="preserve">ESG研究普遍采用”滞后一期”框架，即第T期的ESG表现解释第T+1期的市场反应。这一设计的理论依据在于：ESG因子属于企业长期竞争力的”慢变量”，其通过技术创新、品牌声誉、风险缓释等渠道向股价传导存在自然时滞。因此，2023年年报披露的ESG指标与2024年全年股价表现构成逻辑上更严谨的因果链条，而非简单同期相关。</w:t>
      </w:r>
    </w:p>
    <w:p>
      <w:pPr>
        <w:pStyle w:val="a0"/>
      </w:pPr>
      <w:r>
        <w:rPr>
          <w:b/>
          <w:bCs/>
        </w:rPr>
        <w:t xml:space="preserve">（2）数据完整性与可获取性</w:t>
      </w:r>
    </w:p>
    <w:p>
      <w:pPr>
        <w:pStyle w:val="a0"/>
      </w:pPr>
      <w:r>
        <w:t xml:space="preserve">2023年年报已于2024年4月前全部披露完毕，8家样本公司的”环境与社会责任”章节、独立ESG报告及华证指数评级数据均可公开获取。2024年股价数据（前复权）亦已封盘，涨跌幅为确定值，不受后续分红除权调整影响。若采用2025年数据，部分公司2024年独立ESG报告可能延迟至2025年5-6月发布，数据完整性无法在一周研究周期内得到保障。</w:t>
      </w:r>
    </w:p>
    <w:p>
      <w:pPr>
        <w:pStyle w:val="a0"/>
      </w:pPr>
      <w:r>
        <w:rPr>
          <w:b/>
          <w:bCs/>
        </w:rPr>
        <w:t xml:space="preserve">（3）行业周期的”压力测试”价值</w:t>
      </w:r>
    </w:p>
    <w:p>
      <w:pPr>
        <w:pStyle w:val="a0"/>
      </w:pPr>
      <w:r>
        <w:t xml:space="preserve">2024年是光伏行业典型的下行周期：全球产能过剩引发激烈价格战，硅料、硅片、组件价格全线下跌，8家样本公司中7家股价收跌。在”泥沙俱下”的市场环境中，ESG表现优异的企业能否展现出股价韧性，恰恰是检验ESG是否具有独立定价力的最佳场景。若换用行业反弹年份，普涨行情可能掩盖ESG因子的区分度，导致相关性被系统性低估。</w:t>
      </w:r>
    </w:p>
    <w:p>
      <w:pPr>
        <w:pStyle w:val="a0"/>
      </w:pPr>
      <w:r>
        <w:t xml:space="preserve">综上，2023年ESG数据与2024年股价数据的组合，兼顾了学术严谨性、数据可得性与研究场景的代表性，适合作为独立研究项目的分析窗口。</w:t>
      </w:r>
    </w:p>
    <w:bookmarkEnd w:id="21"/>
    <w:bookmarkStart w:id="22" w:name="三数据汇总"/>
    <w:p>
      <w:pPr>
        <w:pStyle w:val="2"/>
      </w:pPr>
      <w:r>
        <w:t xml:space="preserve">三、数据汇总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股价涨跌幅(2024)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碳排放强度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研发投入占比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员工培训时长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独立董事比例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ESG评级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隆基绿能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-47.8%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通威股份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BBB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晶科能源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晶澳科技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-28.3%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天合光能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BBB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TCL中环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BBB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阳光电源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+12.3%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阿特斯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-15.8%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pPr>
        <w:pStyle w:val="a0"/>
      </w:pPr>
      <w:r>
        <w:rPr>
          <w:i/>
          <w:iCs/>
        </w:rPr>
        <w:t xml:space="preserve">注：碳排放强度单位为吨CO₂/万元营收；ESG评级采用华证指数评级体系（AA&gt;A&gt;BBB）</w:t>
      </w:r>
    </w:p>
    <w:bookmarkEnd w:id="22"/>
    <w:bookmarkStart w:id="23" w:name="四相关性分析结果"/>
    <w:p>
      <w:pPr>
        <w:pStyle w:val="2"/>
      </w:pPr>
      <w:r>
        <w:t xml:space="preserve">四、相关性分析结果</w:t>
      </w:r>
    </w:p>
    <w:p>
      <w:pPr>
        <w:pStyle w:val="FirstParagraph"/>
      </w:pPr>
      <w:r>
        <w:t xml:space="preserve">采用Pearson相关系数检验5项ESG指标与2024年股价涨跌幅的相关性：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ESG指标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显著性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ESG评级数值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碳排放强度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研发投入占比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+0.810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员工培训时长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独立董事比例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不显著</w:t>
            </w:r>
          </w:p>
        </w:tc>
      </w:tr>
    </w:tbl>
    <w:p>
      <w:pPr>
        <w:pStyle w:val="a0"/>
      </w:pPr>
      <w:r>
        <w:t xml:space="preserve">*注：**表示在p&lt;0.05水平显著*</w:t>
      </w:r>
    </w:p>
    <w:bookmarkEnd w:id="23"/>
    <w:bookmarkStart w:id="24" w:name="五主要发现"/>
    <w:p>
      <w:pPr>
        <w:pStyle w:val="2"/>
      </w:pPr>
      <w:r>
        <w:t xml:space="preserve">五、主要发现</w:t>
      </w:r>
    </w:p>
    <w:p>
      <w:pPr>
        <w:pStyle w:val="FirstParagraph"/>
      </w:pPr>
      <w:r>
        <w:rPr>
          <w:b/>
          <w:bCs/>
        </w:rPr>
        <w:t xml:space="preserve">（1）研发投入占比与股价表现呈最强正相关（r=0.81，p&lt;0.05）</w:t>
      </w:r>
    </w:p>
    <w:p>
      <w:pPr>
        <w:pStyle w:val="a0"/>
      </w:pPr>
      <w:r>
        <w:t xml:space="preserve">技术创新能力是光伏企业在行业下行周期中的核心护城河。阳光电源以7.8%的研发投入占比位居样本首位，同时也是8家公司中唯一实现2024年股价正增长（+12.3%）的企业。这一结果印证了”高研发投入→技术领先→业绩韧性→股价支撑”的传导逻辑。相比之下，研发投入占比最低的通威股份（3.8%）股价跌幅达-30.2%。</w:t>
      </w:r>
    </w:p>
    <w:p>
      <w:pPr>
        <w:pStyle w:val="a0"/>
      </w:pPr>
      <w:r>
        <w:rPr>
          <w:b/>
          <w:bCs/>
        </w:rPr>
        <w:t xml:space="preserve">（2）碳排放强度与股价表现呈显著负相关（r=-0.78，p&lt;0.05）</w:t>
      </w:r>
    </w:p>
    <w:p>
      <w:pPr>
        <w:pStyle w:val="a0"/>
      </w:pPr>
      <w:r>
        <w:t xml:space="preserve">在”双碳”政策持续深化的背景下，低碳运营能力已成为投资者评估光伏企业长期价值的重要维度。阳光电源碳排放强度最低（0.45吨CO₂/万元营收），而股价跌幅最大的隆基绿能（-47.8%）碳排放强度相对较高（0.85）。这一负相关关系表明，即便在光伏这一”绿色行业”内部，碳管理能力的差异仍会影响资本市场定价。</w:t>
      </w:r>
    </w:p>
    <w:p>
      <w:pPr>
        <w:pStyle w:val="a0"/>
      </w:pPr>
      <w:r>
        <w:rPr>
          <w:b/>
          <w:bCs/>
        </w:rPr>
        <w:t xml:space="preserve">（3）ESG综合评级与股价表现呈中等正相关（r=0.74，p&lt;0.05）</w:t>
      </w:r>
    </w:p>
    <w:p>
      <w:pPr>
        <w:pStyle w:val="a0"/>
      </w:pPr>
      <w:r>
        <w:t xml:space="preserve">华证指数评级为AA的阳光电源和A级的晶科能源、阿特斯、晶澳科技、隆基绿能，其2024年股价表现整体优于BBB级的通威股份、天合光能、TCL中环。值得注意的是，隆基绿能虽获A级评级但股价跌幅最大，说明ESG评级并非股价的唯一决定因素，需结合行业周期综合判断。</w:t>
      </w:r>
    </w:p>
    <w:p>
      <w:pPr>
        <w:pStyle w:val="a0"/>
      </w:pPr>
      <w:r>
        <w:rPr>
          <w:b/>
          <w:bCs/>
        </w:rPr>
        <w:t xml:space="preserve">（4）员工培训时长与股价表现呈显著正相关（r=0.77，p&lt;0.05）</w:t>
      </w:r>
    </w:p>
    <w:p>
      <w:pPr>
        <w:pStyle w:val="a0"/>
      </w:pPr>
      <w:r>
        <w:t xml:space="preserve">人力资本投资对企业长期竞争力的支撑作用在数据中得到验证。阳光电源人均培训时长58小时为样本最高，而TCL中环仅35小时且股价跌幅较深（-35.6%）。</w:t>
      </w:r>
    </w:p>
    <w:p>
      <w:pPr>
        <w:pStyle w:val="a0"/>
      </w:pPr>
      <w:r>
        <w:rPr>
          <w:b/>
          <w:bCs/>
        </w:rPr>
        <w:t xml:space="preserve">（5）独立董事比例与股价相关性不显著（r=0.62，p=0.10）</w:t>
      </w:r>
    </w:p>
    <w:p>
      <w:pPr>
        <w:pStyle w:val="a0"/>
      </w:pPr>
      <w:r>
        <w:t xml:space="preserve">治理结构指标在本样本中未表现出统计显著性，可能原因包括：样本量较小（n=8）、光伏行业治理结构整体趋同（独立董事比例均在36%-46%之间），或治理质量对股价的传导存在较长时滞。</w:t>
      </w:r>
    </w:p>
    <w:bookmarkEnd w:id="24"/>
    <w:bookmarkStart w:id="25" w:name="六案例分析阳光电源的esg韧性"/>
    <w:p>
      <w:pPr>
        <w:pStyle w:val="2"/>
      </w:pPr>
      <w:r>
        <w:t xml:space="preserve">六、案例分析：阳光电源的”ESG韧性”</w:t>
      </w:r>
    </w:p>
    <w:p>
      <w:pPr>
        <w:pStyle w:val="FirstParagraph"/>
      </w:pPr>
      <w:r>
        <w:t xml:space="preserve">阳光电源是本样本中ESG表现与股价表现双重最优的典型案例：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环境（E）</w:t>
      </w:r>
      <w:r>
        <w:t xml:space="preserve">：碳排放强度0.45，为样本最低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社会（S）</w:t>
      </w:r>
      <w:r>
        <w:t xml:space="preserve">：研发投入占比7.8%、员工培训58小时，均为样本最高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治理（G）</w:t>
      </w:r>
      <w:r>
        <w:t xml:space="preserve">：独立董事比例45.5%，ESG评级AA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市场结果</w:t>
      </w:r>
      <w:r>
        <w:t xml:space="preserve">：2024年股价+12.3%，唯一正增长</w:t>
      </w:r>
    </w:p>
    <w:p>
      <w:pPr>
        <w:pStyle w:val="a0"/>
      </w:pPr>
      <w:r>
        <w:t xml:space="preserve">这一案例表明，在光伏行业从”产能扩张”转向”技术迭代”的新阶段，ESG维度中的创新投入（S）与低碳运营（E）可能成为区分企业竞争力的关键变量。</w:t>
      </w:r>
    </w:p>
    <w:bookmarkEnd w:id="25"/>
    <w:bookmarkStart w:id="26" w:name="七研究局限与展望"/>
    <w:p>
      <w:pPr>
        <w:pStyle w:val="2"/>
      </w:pPr>
      <w:r>
        <w:t xml:space="preserve">七、研究局限与展望</w:t>
      </w:r>
    </w:p>
    <w:p>
      <w:pPr>
        <w:pStyle w:val="FirstParagraph"/>
      </w:pPr>
      <w:r>
        <w:rPr>
          <w:b/>
          <w:bCs/>
        </w:rPr>
        <w:t xml:space="preserve">局限性</w:t>
      </w:r>
      <w:r>
        <w:t xml:space="preserve">：</w:t>
      </w:r>
      <w:r>
        <w:t xml:space="preserve"> </w:t>
      </w:r>
      <w:r>
        <w:t xml:space="preserve">1. 样本量较小（n=8），统计检验力有限，结果需谨慎外推</w:t>
      </w:r>
      <w:r>
        <w:t xml:space="preserve"> </w:t>
      </w:r>
      <w:r>
        <w:t xml:space="preserve">2. ESG数据来源于2023年年报，存在披露口径不一致问题（如碳排放范围1/2/3的界定差异）</w:t>
      </w:r>
      <w:r>
        <w:t xml:space="preserve"> </w:t>
      </w:r>
      <w:r>
        <w:t xml:space="preserve">3. 2024年光伏行业受产能过剩、价格战等宏观因素主导，ESG因素可能只是股价波动的部分解释变量</w:t>
      </w:r>
      <w:r>
        <w:t xml:space="preserve"> </w:t>
      </w:r>
      <w:r>
        <w:t xml:space="preserve">4. 采用横截面相关分析，无法确定因果方向</w:t>
      </w:r>
    </w:p>
    <w:p>
      <w:pPr>
        <w:pStyle w:val="a0"/>
      </w:pPr>
      <w:r>
        <w:rPr>
          <w:b/>
          <w:bCs/>
        </w:rPr>
        <w:t xml:space="preserve">未来研究方向</w:t>
      </w:r>
      <w:r>
        <w:t xml:space="preserve">：</w:t>
      </w:r>
      <w:r>
        <w:t xml:space="preserve"> </w:t>
      </w:r>
      <w:r>
        <w:t xml:space="preserve">1. 扩大样本至整个新能源板块（风电、储能、锂电），采用面板数据模型控制行业周期效应</w:t>
      </w:r>
      <w:r>
        <w:t xml:space="preserve"> </w:t>
      </w:r>
      <w:r>
        <w:t xml:space="preserve">2. 引入时间序列分析，检验ESG评级变动是否领先于股价变动</w:t>
      </w:r>
      <w:r>
        <w:t xml:space="preserve"> </w:t>
      </w:r>
      <w:r>
        <w:t xml:space="preserve">3. 区分ESG的”阿尔法效应”（超额收益）与”贝塔效应”（系统性风险暴露）</w:t>
      </w:r>
      <w:r>
        <w:t xml:space="preserve"> </w:t>
      </w:r>
      <w:r>
        <w:t xml:space="preserve">4. 结合事件研究法，分析ESG评级调整公告对股价的短期冲击</w:t>
      </w:r>
    </w:p>
    <w:bookmarkEnd w:id="26"/>
    <w:bookmarkStart w:id="27" w:name="八参考文献"/>
    <w:p>
      <w:pPr>
        <w:pStyle w:val="2"/>
      </w:pPr>
      <w:r>
        <w:t xml:space="preserve">八、参考文献</w:t>
      </w:r>
    </w:p>
    <w:p>
      <w:pPr>
        <w:pStyle w:val="Compact"/>
        <w:numPr>
          <w:ilvl w:val="0"/>
          <w:numId w:val="1001"/>
        </w:numPr>
      </w:pPr>
      <w:r>
        <w:t xml:space="preserve">隆基绿能股份有限公司. 2023年年度报告[R]. 2024.</w:t>
      </w:r>
    </w:p>
    <w:p>
      <w:pPr>
        <w:pStyle w:val="Compact"/>
        <w:numPr>
          <w:ilvl w:val="0"/>
          <w:numId w:val="1001"/>
        </w:numPr>
      </w:pPr>
      <w:r>
        <w:t xml:space="preserve">通威股份有限公司. 2023年年度报告[R]. 2024.</w:t>
      </w:r>
    </w:p>
    <w:p>
      <w:pPr>
        <w:pStyle w:val="Compact"/>
        <w:numPr>
          <w:ilvl w:val="0"/>
          <w:numId w:val="1001"/>
        </w:numPr>
      </w:pPr>
      <w:r>
        <w:t xml:space="preserve">晶科能源股份有限公司. 2023年年度报告[R]. 2024.</w:t>
      </w:r>
    </w:p>
    <w:p>
      <w:pPr>
        <w:pStyle w:val="Compact"/>
        <w:numPr>
          <w:ilvl w:val="0"/>
          <w:numId w:val="1001"/>
        </w:numPr>
      </w:pPr>
      <w:r>
        <w:t xml:space="preserve">晶澳科技股份有限公司. 2023年年度报告[R]. 2024.</w:t>
      </w:r>
    </w:p>
    <w:p>
      <w:pPr>
        <w:pStyle w:val="Compact"/>
        <w:numPr>
          <w:ilvl w:val="0"/>
          <w:numId w:val="1001"/>
        </w:numPr>
      </w:pPr>
      <w:r>
        <w:t xml:space="preserve">天合光能股份有限公司. 2023年年度报告[R]. 2024.</w:t>
      </w:r>
    </w:p>
    <w:p>
      <w:pPr>
        <w:pStyle w:val="Compact"/>
        <w:numPr>
          <w:ilvl w:val="0"/>
          <w:numId w:val="1001"/>
        </w:numPr>
      </w:pPr>
      <w:r>
        <w:t xml:space="preserve">TCL中环新能源科技股份有限公司. 2023年年度报告[R]. 2024.</w:t>
      </w:r>
    </w:p>
    <w:p>
      <w:pPr>
        <w:pStyle w:val="Compact"/>
        <w:numPr>
          <w:ilvl w:val="0"/>
          <w:numId w:val="1001"/>
        </w:numPr>
      </w:pPr>
      <w:r>
        <w:t xml:space="preserve">阳光电源股份有限公司. 2023年年度报告[R]. 2024.</w:t>
      </w:r>
    </w:p>
    <w:p>
      <w:pPr>
        <w:pStyle w:val="Compact"/>
        <w:numPr>
          <w:ilvl w:val="0"/>
          <w:numId w:val="1001"/>
        </w:numPr>
      </w:pPr>
      <w:r>
        <w:t xml:space="preserve">阿特斯阳光电力集团股份有限公司. 2023年年度报告[R]. 2024.</w:t>
      </w:r>
    </w:p>
    <w:p>
      <w:pPr>
        <w:pStyle w:val="Compact"/>
        <w:numPr>
          <w:ilvl w:val="0"/>
          <w:numId w:val="1001"/>
        </w:numPr>
      </w:pPr>
      <w:r>
        <w:t xml:space="preserve">华证指数有限公司. ESG评级数据[DB/OL]. http://www.chindices.com</w:t>
      </w:r>
    </w:p>
    <w:p>
      <w:pPr>
        <w:pStyle w:val="Compact"/>
        <w:numPr>
          <w:ilvl w:val="0"/>
          <w:numId w:val="1001"/>
        </w:numPr>
      </w:pPr>
      <w:r>
        <w:t xml:space="preserve">Tushare. 股票行情数据接口[DB/OL]. https://tushare.pro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本报告为独立研究项目，数据来源于公开渠道，仅供学术交流使用。</w: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2026-05-12T03:20:12Z</dcterms:created>
  <dcterms:modified xsi:type="dcterms:W3CDTF">2026-05-12T03:20:12Z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s094dm2cikgivikdqg-19e161e1-f3a2-8689-8000-09410489e289-20260512032012","ReservedCode1":"","ContentPropagator":"001191110108MACG2KBH8F20000","PropagateID":"cus094dm2cikgivikdqg-19e161e1-f3a2-8689-8000-09410489e289-20260512032012","ReservedCode2":""}</vt:lpwstr>
  </property>
</Properties>
</file>