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股光伏行业esg表现与股价相关性初探2025年数据验证"/>
    <w:p>
      <w:pPr>
        <w:pStyle w:val="1"/>
      </w:pPr>
      <w:r>
        <w:t xml:space="preserve">A股光伏行业ESG表现与股价相关性初探（2025年数据验证）</w:t>
      </w:r>
    </w:p>
    <w:bookmarkStart w:id="20" w:name="一研究背景与样本说明"/>
    <w:p>
      <w:pPr>
        <w:pStyle w:val="2"/>
      </w:pPr>
      <w:r>
        <w:t xml:space="preserve">一、研究背景与样本说明</w:t>
      </w:r>
    </w:p>
    <w:p>
      <w:pPr>
        <w:pStyle w:val="FirstParagraph"/>
      </w:pPr>
      <w:r>
        <w:t xml:space="preserve">本研究选取A股光伏行业8家代表性上市公司——隆基绿能（601012）、通威股份（600438）、晶科能源（688223）、晶澳科技（002459）、天合光能（688599）、TCL中环（002129）、阳光电源（300274）、阿特斯（688472）——作为研究样本。数据来源包括各公司2024年年度报告（</w:t>
      </w:r>
      <w:r>
        <w:t xml:space="preserve">“</w:t>
      </w:r>
      <w:r>
        <w:t xml:space="preserve">环境与社会责任</w:t>
      </w:r>
      <w:r>
        <w:t xml:space="preserve">”</w:t>
      </w:r>
      <w:r>
        <w:t xml:space="preserve">章节）、华证指数ESG评级，以及2025年全年前复权股价数据（东方财富/雪球）。</w:t>
      </w:r>
    </w:p>
    <w:p>
      <w:pPr>
        <w:pStyle w:val="a0"/>
      </w:pPr>
      <w:r>
        <w:t xml:space="preserve">2025年光伏行业呈现”前低后高”的复苏态势：上半年延续2024年的低迷，硅料、硅片价格持续探底；下半年随着行业自律限产、海外需求回暖及政策利好释放，板块迎来显著反弹。与2024年”泥沙俱下”的普跌格局不同，2025年股价表现分化明显——阳光电源凭借储能业务爆发实现股价翻倍，而部分组件企业仍受产能过剩拖累。这一差异化行情为检验ESG因子的跨周期稳健性提供了宝贵的对比场景。</w:t>
      </w:r>
    </w:p>
    <w:bookmarkEnd w:id="20"/>
    <w:bookmarkStart w:id="21" w:name="二数据时间窗口选择依据"/>
    <w:p>
      <w:pPr>
        <w:pStyle w:val="2"/>
      </w:pPr>
      <w:r>
        <w:t xml:space="preserve">二、数据时间窗口选择依据</w:t>
      </w:r>
    </w:p>
    <w:p>
      <w:pPr>
        <w:pStyle w:val="FirstParagraph"/>
      </w:pPr>
      <w:r>
        <w:t xml:space="preserve">本研究采用</w:t>
      </w:r>
      <w:r>
        <w:rPr>
          <w:b/>
          <w:bCs/>
        </w:rPr>
        <w:t xml:space="preserve">2024年ESG数据</w:t>
      </w:r>
      <w:r>
        <w:t xml:space="preserve">与</w:t>
      </w:r>
      <w:r>
        <w:rPr>
          <w:b/>
          <w:bCs/>
        </w:rPr>
        <w:t xml:space="preserve">2025年股价涨跌幅</w:t>
      </w:r>
      <w:r>
        <w:t xml:space="preserve">进行匹配分析，延续”滞后一期”（Lag=1）的学术设计框架。选择该时间窗口的核心考量包括：</w:t>
      </w:r>
    </w:p>
    <w:p>
      <w:pPr>
        <w:pStyle w:val="a0"/>
      </w:pPr>
      <w:r>
        <w:rPr>
          <w:b/>
          <w:bCs/>
        </w:rPr>
        <w:t xml:space="preserve">（1）数据可得性</w:t>
      </w:r>
      <w:r>
        <w:t xml:space="preserve">：2024年年报已于2025年4月前全部披露，ESG指标、碳排放数据及华证指数评级完整可获取；2025年股价已封盘，涨跌幅为确定值。</w:t>
      </w:r>
    </w:p>
    <w:p>
      <w:pPr>
        <w:pStyle w:val="a0"/>
      </w:pPr>
      <w:r>
        <w:rPr>
          <w:b/>
          <w:bCs/>
        </w:rPr>
        <w:t xml:space="preserve">（2）跨周期稳健性检验</w:t>
      </w:r>
      <w:r>
        <w:t xml:space="preserve">：2024年为行业极端下行期（7/8家公司股价下跌），2025年为结构性复苏期（5/8家公司股价上涨）。若ESG因子在两个截然不同的市场环境中均表现出与股价的相关性，则可增强结论的稳健性。</w:t>
      </w:r>
    </w:p>
    <w:p>
      <w:pPr>
        <w:pStyle w:val="a0"/>
      </w:pPr>
      <w:r>
        <w:rPr>
          <w:b/>
          <w:bCs/>
        </w:rPr>
        <w:t xml:space="preserve">（3）行业阶段转换的代表性</w:t>
      </w:r>
      <w:r>
        <w:t xml:space="preserve">：2025年光伏行业正从”产能扩张”转向”技术迭代+全球化布局”的新阶段，ESG维度中的研发投入（S）和低碳运营（E）对企业竞争力的区分度可能进一步凸显。</w:t>
      </w:r>
    </w:p>
    <w:bookmarkEnd w:id="21"/>
    <w:bookmarkStart w:id="22" w:name="三数据汇总"/>
    <w:p>
      <w:pPr>
        <w:pStyle w:val="2"/>
      </w:pPr>
      <w:r>
        <w:t xml:space="preserve">三、数据汇总</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公司</w:t>
            </w:r>
          </w:p>
        </w:tc>
        <w:tc>
          <w:tcPr/>
          <w:p>
            <w:pPr>
              <w:pStyle w:val="Compact"/>
              <w:jc w:val="center"/>
            </w:pPr>
            <w:r>
              <w:t xml:space="preserve">股价涨跌幅(2025)</w:t>
            </w:r>
          </w:p>
        </w:tc>
        <w:tc>
          <w:tcPr/>
          <w:p>
            <w:pPr>
              <w:pStyle w:val="Compact"/>
              <w:jc w:val="center"/>
            </w:pPr>
            <w:r>
              <w:t xml:space="preserve">碳排放强度</w:t>
            </w:r>
          </w:p>
        </w:tc>
        <w:tc>
          <w:tcPr/>
          <w:p>
            <w:pPr>
              <w:pStyle w:val="Compact"/>
              <w:jc w:val="center"/>
            </w:pPr>
            <w:r>
              <w:t xml:space="preserve">研发投入占比</w:t>
            </w:r>
          </w:p>
        </w:tc>
        <w:tc>
          <w:tcPr/>
          <w:p>
            <w:pPr>
              <w:pStyle w:val="Compact"/>
              <w:jc w:val="center"/>
            </w:pPr>
            <w:r>
              <w:t xml:space="preserve">员工培训时长</w:t>
            </w:r>
          </w:p>
        </w:tc>
        <w:tc>
          <w:tcPr/>
          <w:p>
            <w:pPr>
              <w:pStyle w:val="Compact"/>
              <w:jc w:val="center"/>
            </w:pPr>
            <w:r>
              <w:t xml:space="preserve">独立董事比例</w:t>
            </w:r>
          </w:p>
        </w:tc>
        <w:tc>
          <w:tcPr/>
          <w:p>
            <w:pPr>
              <w:pStyle w:val="Compact"/>
              <w:jc w:val="center"/>
            </w:pPr>
            <w:r>
              <w:t xml:space="preserve">ESG评级</w:t>
            </w:r>
          </w:p>
        </w:tc>
      </w:tr>
      <w:tr>
        <w:tc>
          <w:tcPr/>
          <w:p>
            <w:pPr>
              <w:pStyle w:val="Compact"/>
              <w:jc w:val="center"/>
            </w:pPr>
            <w:r>
              <w:t xml:space="preserve">隆基绿能</w:t>
            </w:r>
          </w:p>
        </w:tc>
        <w:tc>
          <w:tcPr/>
          <w:p>
            <w:pPr>
              <w:pStyle w:val="Compact"/>
              <w:jc w:val="center"/>
            </w:pPr>
            <w:r>
              <w:t xml:space="preserve">+13.9%</w:t>
            </w:r>
          </w:p>
        </w:tc>
        <w:tc>
          <w:tcPr/>
          <w:p>
            <w:pPr>
              <w:pStyle w:val="Compact"/>
              <w:jc w:val="center"/>
            </w:pPr>
            <w:r>
              <w:t xml:space="preserve">0.82</w:t>
            </w:r>
          </w:p>
        </w:tc>
        <w:tc>
          <w:tcPr/>
          <w:p>
            <w:pPr>
              <w:pStyle w:val="Compact"/>
              <w:jc w:val="center"/>
            </w:pPr>
            <w:r>
              <w:t xml:space="preserve">5.5%</w:t>
            </w:r>
          </w:p>
        </w:tc>
        <w:tc>
          <w:tcPr/>
          <w:p>
            <w:pPr>
              <w:pStyle w:val="Compact"/>
              <w:jc w:val="center"/>
            </w:pPr>
            <w:r>
              <w:t xml:space="preserve">48h</w:t>
            </w:r>
          </w:p>
        </w:tc>
        <w:tc>
          <w:tcPr/>
          <w:p>
            <w:pPr>
              <w:pStyle w:val="Compact"/>
              <w:jc w:val="center"/>
            </w:pPr>
            <w:r>
              <w:t xml:space="preserve">42.9%</w:t>
            </w:r>
          </w:p>
        </w:tc>
        <w:tc>
          <w:tcPr/>
          <w:p>
            <w:pPr>
              <w:pStyle w:val="Compact"/>
              <w:jc w:val="center"/>
            </w:pPr>
            <w:r>
              <w:t xml:space="preserve">A</w:t>
            </w:r>
          </w:p>
        </w:tc>
      </w:tr>
      <w:tr>
        <w:tc>
          <w:tcPr/>
          <w:p>
            <w:pPr>
              <w:pStyle w:val="Compact"/>
              <w:jc w:val="center"/>
            </w:pPr>
            <w:r>
              <w:t xml:space="preserve">通威股份</w:t>
            </w:r>
          </w:p>
        </w:tc>
        <w:tc>
          <w:tcPr/>
          <w:p>
            <w:pPr>
              <w:pStyle w:val="Compact"/>
              <w:jc w:val="center"/>
            </w:pPr>
            <w:r>
              <w:t xml:space="preserve">+11.1%</w:t>
            </w:r>
          </w:p>
        </w:tc>
        <w:tc>
          <w:tcPr/>
          <w:p>
            <w:pPr>
              <w:pStyle w:val="Compact"/>
              <w:jc w:val="center"/>
            </w:pPr>
            <w:r>
              <w:t xml:space="preserve">1.08</w:t>
            </w:r>
          </w:p>
        </w:tc>
        <w:tc>
          <w:tcPr/>
          <w:p>
            <w:pPr>
              <w:pStyle w:val="Compact"/>
              <w:jc w:val="center"/>
            </w:pPr>
            <w:r>
              <w:t xml:space="preserve">3.9%</w:t>
            </w:r>
          </w:p>
        </w:tc>
        <w:tc>
          <w:tcPr/>
          <w:p>
            <w:pPr>
              <w:pStyle w:val="Compact"/>
              <w:jc w:val="center"/>
            </w:pPr>
            <w:r>
              <w:t xml:space="preserve">40h</w:t>
            </w:r>
          </w:p>
        </w:tc>
        <w:tc>
          <w:tcPr/>
          <w:p>
            <w:pPr>
              <w:pStyle w:val="Compact"/>
              <w:jc w:val="center"/>
            </w:pPr>
            <w:r>
              <w:t xml:space="preserve">36.4%</w:t>
            </w:r>
          </w:p>
        </w:tc>
        <w:tc>
          <w:tcPr/>
          <w:p>
            <w:pPr>
              <w:pStyle w:val="Compact"/>
              <w:jc w:val="center"/>
            </w:pPr>
            <w:r>
              <w:t xml:space="preserve">BBB</w:t>
            </w:r>
          </w:p>
        </w:tc>
      </w:tr>
      <w:tr>
        <w:tc>
          <w:tcPr/>
          <w:p>
            <w:pPr>
              <w:pStyle w:val="Compact"/>
              <w:jc w:val="center"/>
            </w:pPr>
            <w:r>
              <w:t xml:space="preserve">晶科能源</w:t>
            </w:r>
          </w:p>
        </w:tc>
        <w:tc>
          <w:tcPr/>
          <w:p>
            <w:pPr>
              <w:pStyle w:val="Compact"/>
              <w:jc w:val="center"/>
            </w:pPr>
            <w:r>
              <w:t xml:space="preserve">-10.3%</w:t>
            </w:r>
          </w:p>
        </w:tc>
        <w:tc>
          <w:tcPr/>
          <w:p>
            <w:pPr>
              <w:pStyle w:val="Compact"/>
              <w:jc w:val="center"/>
            </w:pPr>
            <w:r>
              <w:t xml:space="preserve">0.70</w:t>
            </w:r>
          </w:p>
        </w:tc>
        <w:tc>
          <w:tcPr/>
          <w:p>
            <w:pPr>
              <w:pStyle w:val="Compact"/>
              <w:jc w:val="center"/>
            </w:pPr>
            <w:r>
              <w:t xml:space="preserve">6.0%</w:t>
            </w:r>
          </w:p>
        </w:tc>
        <w:tc>
          <w:tcPr/>
          <w:p>
            <w:pPr>
              <w:pStyle w:val="Compact"/>
              <w:jc w:val="center"/>
            </w:pPr>
            <w:r>
              <w:t xml:space="preserve">54h</w:t>
            </w:r>
          </w:p>
        </w:tc>
        <w:tc>
          <w:tcPr/>
          <w:p>
            <w:pPr>
              <w:pStyle w:val="Compact"/>
              <w:jc w:val="center"/>
            </w:pPr>
            <w:r>
              <w:t xml:space="preserve">44.4%</w:t>
            </w:r>
          </w:p>
        </w:tc>
        <w:tc>
          <w:tcPr/>
          <w:p>
            <w:pPr>
              <w:pStyle w:val="Compact"/>
              <w:jc w:val="center"/>
            </w:pPr>
            <w:r>
              <w:t xml:space="preserve">A</w:t>
            </w:r>
          </w:p>
        </w:tc>
      </w:tr>
      <w:tr>
        <w:tc>
          <w:tcPr/>
          <w:p>
            <w:pPr>
              <w:pStyle w:val="Compact"/>
              <w:jc w:val="center"/>
            </w:pPr>
            <w:r>
              <w:t xml:space="preserve">晶澳科技</w:t>
            </w:r>
          </w:p>
        </w:tc>
        <w:tc>
          <w:tcPr/>
          <w:p>
            <w:pPr>
              <w:pStyle w:val="Compact"/>
              <w:jc w:val="center"/>
            </w:pPr>
            <w:r>
              <w:t xml:space="preserve">+6.1%</w:t>
            </w:r>
          </w:p>
        </w:tc>
        <w:tc>
          <w:tcPr/>
          <w:p>
            <w:pPr>
              <w:pStyle w:val="Compact"/>
              <w:jc w:val="center"/>
            </w:pPr>
            <w:r>
              <w:t xml:space="preserve">0.76</w:t>
            </w:r>
          </w:p>
        </w:tc>
        <w:tc>
          <w:tcPr/>
          <w:p>
            <w:pPr>
              <w:pStyle w:val="Compact"/>
              <w:jc w:val="center"/>
            </w:pPr>
            <w:r>
              <w:t xml:space="preserve">5.6%</w:t>
            </w:r>
          </w:p>
        </w:tc>
        <w:tc>
          <w:tcPr/>
          <w:p>
            <w:pPr>
              <w:pStyle w:val="Compact"/>
              <w:jc w:val="center"/>
            </w:pPr>
            <w:r>
              <w:t xml:space="preserve">50h</w:t>
            </w:r>
          </w:p>
        </w:tc>
        <w:tc>
          <w:tcPr/>
          <w:p>
            <w:pPr>
              <w:pStyle w:val="Compact"/>
              <w:jc w:val="center"/>
            </w:pPr>
            <w:r>
              <w:t xml:space="preserve">40.0%</w:t>
            </w:r>
          </w:p>
        </w:tc>
        <w:tc>
          <w:tcPr/>
          <w:p>
            <w:pPr>
              <w:pStyle w:val="Compact"/>
              <w:jc w:val="center"/>
            </w:pPr>
            <w:r>
              <w:t xml:space="preserve">A</w:t>
            </w:r>
          </w:p>
        </w:tc>
      </w:tr>
      <w:tr>
        <w:tc>
          <w:tcPr/>
          <w:p>
            <w:pPr>
              <w:pStyle w:val="Compact"/>
              <w:jc w:val="center"/>
            </w:pPr>
            <w:r>
              <w:t xml:space="preserve">天合光能</w:t>
            </w:r>
          </w:p>
        </w:tc>
        <w:tc>
          <w:tcPr/>
          <w:p>
            <w:pPr>
              <w:pStyle w:val="Compact"/>
              <w:jc w:val="center"/>
            </w:pPr>
            <w:r>
              <w:t xml:space="preserve">+13.5%</w:t>
            </w:r>
          </w:p>
        </w:tc>
        <w:tc>
          <w:tcPr/>
          <w:p>
            <w:pPr>
              <w:pStyle w:val="Compact"/>
              <w:jc w:val="center"/>
            </w:pPr>
            <w:r>
              <w:t xml:space="preserve">0.88</w:t>
            </w:r>
          </w:p>
        </w:tc>
        <w:tc>
          <w:tcPr/>
          <w:p>
            <w:pPr>
              <w:pStyle w:val="Compact"/>
              <w:jc w:val="center"/>
            </w:pPr>
            <w:r>
              <w:t xml:space="preserve">5.1%</w:t>
            </w:r>
          </w:p>
        </w:tc>
        <w:tc>
          <w:tcPr/>
          <w:p>
            <w:pPr>
              <w:pStyle w:val="Compact"/>
              <w:jc w:val="center"/>
            </w:pPr>
            <w:r>
              <w:t xml:space="preserve">44h</w:t>
            </w:r>
          </w:p>
        </w:tc>
        <w:tc>
          <w:tcPr/>
          <w:p>
            <w:pPr>
              <w:pStyle w:val="Compact"/>
              <w:jc w:val="center"/>
            </w:pPr>
            <w:r>
              <w:t xml:space="preserve">38.5%</w:t>
            </w:r>
          </w:p>
        </w:tc>
        <w:tc>
          <w:tcPr/>
          <w:p>
            <w:pPr>
              <w:pStyle w:val="Compact"/>
              <w:jc w:val="center"/>
            </w:pPr>
            <w:r>
              <w:t xml:space="preserve">BBB</w:t>
            </w:r>
          </w:p>
        </w:tc>
      </w:tr>
      <w:tr>
        <w:tc>
          <w:tcPr/>
          <w:p>
            <w:pPr>
              <w:pStyle w:val="Compact"/>
              <w:jc w:val="center"/>
            </w:pPr>
            <w:r>
              <w:t xml:space="preserve">TCL中环</w:t>
            </w:r>
          </w:p>
        </w:tc>
        <w:tc>
          <w:tcPr/>
          <w:p>
            <w:pPr>
              <w:pStyle w:val="Compact"/>
              <w:jc w:val="center"/>
            </w:pPr>
            <w:r>
              <w:t xml:space="preserve">-3.4%</w:t>
            </w:r>
          </w:p>
        </w:tc>
        <w:tc>
          <w:tcPr/>
          <w:p>
            <w:pPr>
              <w:pStyle w:val="Compact"/>
              <w:jc w:val="center"/>
            </w:pPr>
            <w:r>
              <w:t xml:space="preserve">1.02</w:t>
            </w:r>
          </w:p>
        </w:tc>
        <w:tc>
          <w:tcPr/>
          <w:p>
            <w:pPr>
              <w:pStyle w:val="Compact"/>
              <w:jc w:val="center"/>
            </w:pPr>
            <w:r>
              <w:t xml:space="preserve">4.3%</w:t>
            </w:r>
          </w:p>
        </w:tc>
        <w:tc>
          <w:tcPr/>
          <w:p>
            <w:pPr>
              <w:pStyle w:val="Compact"/>
              <w:jc w:val="center"/>
            </w:pPr>
            <w:r>
              <w:t xml:space="preserve">36h</w:t>
            </w:r>
          </w:p>
        </w:tc>
        <w:tc>
          <w:tcPr/>
          <w:p>
            <w:pPr>
              <w:pStyle w:val="Compact"/>
              <w:jc w:val="center"/>
            </w:pPr>
            <w:r>
              <w:t xml:space="preserve">37.5%</w:t>
            </w:r>
          </w:p>
        </w:tc>
        <w:tc>
          <w:tcPr/>
          <w:p>
            <w:pPr>
              <w:pStyle w:val="Compact"/>
              <w:jc w:val="center"/>
            </w:pPr>
            <w:r>
              <w:t xml:space="preserve">BBB</w:t>
            </w:r>
          </w:p>
        </w:tc>
      </w:tr>
      <w:tr>
        <w:tc>
          <w:tcPr/>
          <w:p>
            <w:pPr>
              <w:pStyle w:val="Compact"/>
              <w:jc w:val="center"/>
            </w:pPr>
            <w:r>
              <w:t xml:space="preserve">阳光电源</w:t>
            </w:r>
          </w:p>
        </w:tc>
        <w:tc>
          <w:tcPr/>
          <w:p>
            <w:pPr>
              <w:pStyle w:val="Compact"/>
              <w:jc w:val="center"/>
            </w:pPr>
            <w:r>
              <w:rPr>
                <w:b/>
                <w:bCs/>
              </w:rPr>
              <w:t xml:space="preserve">+81.8%</w:t>
            </w:r>
          </w:p>
        </w:tc>
        <w:tc>
          <w:tcPr/>
          <w:p>
            <w:pPr>
              <w:pStyle w:val="Compact"/>
              <w:jc w:val="center"/>
            </w:pPr>
            <w:r>
              <w:t xml:space="preserve">0.42</w:t>
            </w:r>
          </w:p>
        </w:tc>
        <w:tc>
          <w:tcPr/>
          <w:p>
            <w:pPr>
              <w:pStyle w:val="Compact"/>
              <w:jc w:val="center"/>
            </w:pPr>
            <w:r>
              <w:rPr>
                <w:b/>
                <w:bCs/>
              </w:rPr>
              <w:t xml:space="preserve">8.0%</w:t>
            </w:r>
          </w:p>
        </w:tc>
        <w:tc>
          <w:tcPr/>
          <w:p>
            <w:pPr>
              <w:pStyle w:val="Compact"/>
              <w:jc w:val="center"/>
            </w:pPr>
            <w:r>
              <w:t xml:space="preserve">60h</w:t>
            </w:r>
          </w:p>
        </w:tc>
        <w:tc>
          <w:tcPr/>
          <w:p>
            <w:pPr>
              <w:pStyle w:val="Compact"/>
              <w:jc w:val="center"/>
            </w:pPr>
            <w:r>
              <w:t xml:space="preserve">45.5%</w:t>
            </w:r>
          </w:p>
        </w:tc>
        <w:tc>
          <w:tcPr/>
          <w:p>
            <w:pPr>
              <w:pStyle w:val="Compact"/>
              <w:jc w:val="center"/>
            </w:pPr>
            <w:r>
              <w:rPr>
                <w:b/>
                <w:bCs/>
              </w:rPr>
              <w:t xml:space="preserve">AA</w:t>
            </w:r>
          </w:p>
        </w:tc>
      </w:tr>
      <w:tr>
        <w:tc>
          <w:tcPr/>
          <w:p>
            <w:pPr>
              <w:pStyle w:val="Compact"/>
              <w:jc w:val="center"/>
            </w:pPr>
            <w:r>
              <w:t xml:space="preserve">阿特斯</w:t>
            </w:r>
          </w:p>
        </w:tc>
        <w:tc>
          <w:tcPr/>
          <w:p>
            <w:pPr>
              <w:pStyle w:val="Compact"/>
              <w:jc w:val="center"/>
            </w:pPr>
            <w:r>
              <w:t xml:space="preserve">+26.1%</w:t>
            </w:r>
          </w:p>
        </w:tc>
        <w:tc>
          <w:tcPr/>
          <w:p>
            <w:pPr>
              <w:pStyle w:val="Compact"/>
              <w:jc w:val="center"/>
            </w:pPr>
            <w:r>
              <w:t xml:space="preserve">0.65</w:t>
            </w:r>
          </w:p>
        </w:tc>
        <w:tc>
          <w:tcPr/>
          <w:p>
            <w:pPr>
              <w:pStyle w:val="Compact"/>
              <w:jc w:val="center"/>
            </w:pPr>
            <w:r>
              <w:t xml:space="preserve">6.0%</w:t>
            </w:r>
          </w:p>
        </w:tc>
        <w:tc>
          <w:tcPr/>
          <w:p>
            <w:pPr>
              <w:pStyle w:val="Compact"/>
              <w:jc w:val="center"/>
            </w:pPr>
            <w:r>
              <w:t xml:space="preserve">52h</w:t>
            </w:r>
          </w:p>
        </w:tc>
        <w:tc>
          <w:tcPr/>
          <w:p>
            <w:pPr>
              <w:pStyle w:val="Compact"/>
              <w:jc w:val="center"/>
            </w:pPr>
            <w:r>
              <w:t xml:space="preserve">42.9%</w:t>
            </w:r>
          </w:p>
        </w:tc>
        <w:tc>
          <w:tcPr/>
          <w:p>
            <w:pPr>
              <w:pStyle w:val="Compact"/>
              <w:jc w:val="center"/>
            </w:pPr>
            <w:r>
              <w:t xml:space="preserve">A</w:t>
            </w:r>
          </w:p>
        </w:tc>
      </w:tr>
    </w:tbl>
    <w:p>
      <w:pPr>
        <w:pStyle w:val="a0"/>
      </w:pPr>
      <w:r>
        <w:rPr>
          <w:i/>
          <w:iCs/>
        </w:rPr>
        <w:t xml:space="preserve">注：碳排放强度单位为吨CO₂/万元营收；ESG评级采用华证指数评级体系；股价涨跌幅为2025年全年前复权涨跌幅</w:t>
      </w:r>
    </w:p>
    <w:bookmarkEnd w:id="22"/>
    <w:bookmarkStart w:id="23" w:name="四相关性分析结果"/>
    <w:p>
      <w:pPr>
        <w:pStyle w:val="2"/>
      </w:pPr>
      <w:r>
        <w:t xml:space="preserve">四、相关性分析结果</w:t>
      </w:r>
    </w:p>
    <w:p>
      <w:pPr>
        <w:pStyle w:val="FirstParagraph"/>
      </w:pPr>
      <w:r>
        <w:t xml:space="preserve">采用Pearson相关系数检验5项ESG指标与2025年股价涨跌幅的相关性：</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ESG指标</w:t>
            </w:r>
          </w:p>
        </w:tc>
        <w:tc>
          <w:tcPr/>
          <w:p>
            <w:pPr>
              <w:pStyle w:val="Compact"/>
              <w:jc w:val="center"/>
            </w:pPr>
            <w:r>
              <w:t xml:space="preserve">Pearson r</w:t>
            </w:r>
          </w:p>
        </w:tc>
        <w:tc>
          <w:tcPr/>
          <w:p>
            <w:pPr>
              <w:pStyle w:val="Compact"/>
              <w:jc w:val="center"/>
            </w:pPr>
            <w:r>
              <w:t xml:space="preserve">p值</w:t>
            </w:r>
          </w:p>
        </w:tc>
        <w:tc>
          <w:tcPr/>
          <w:p>
            <w:pPr>
              <w:pStyle w:val="Compact"/>
              <w:jc w:val="center"/>
            </w:pPr>
            <w:r>
              <w:t xml:space="preserve">显著性</w:t>
            </w:r>
          </w:p>
        </w:tc>
      </w:tr>
      <w:tr>
        <w:tc>
          <w:tcPr/>
          <w:p>
            <w:pPr>
              <w:pStyle w:val="Compact"/>
              <w:jc w:val="left"/>
            </w:pPr>
            <w:r>
              <w:t xml:space="preserve">ESG评级数值</w:t>
            </w:r>
          </w:p>
        </w:tc>
        <w:tc>
          <w:tcPr/>
          <w:p>
            <w:pPr>
              <w:pStyle w:val="Compact"/>
              <w:jc w:val="center"/>
            </w:pPr>
            <w:r>
              <w:t xml:space="preserve">+0.680</w:t>
            </w:r>
          </w:p>
        </w:tc>
        <w:tc>
          <w:tcPr/>
          <w:p>
            <w:pPr>
              <w:pStyle w:val="Compact"/>
              <w:jc w:val="center"/>
            </w:pPr>
            <w:r>
              <w:t xml:space="preserve">0.064</w:t>
            </w:r>
          </w:p>
        </w:tc>
        <w:tc>
          <w:tcPr/>
          <w:p>
            <w:pPr>
              <w:pStyle w:val="Compact"/>
              <w:jc w:val="center"/>
            </w:pPr>
            <w:r>
              <w:t xml:space="preserve">*</w:t>
            </w:r>
          </w:p>
        </w:tc>
      </w:tr>
      <w:tr>
        <w:tc>
          <w:tcPr/>
          <w:p>
            <w:pPr>
              <w:pStyle w:val="Compact"/>
              <w:jc w:val="left"/>
            </w:pPr>
            <w:r>
              <w:t xml:space="preserve">碳排放强度</w:t>
            </w:r>
          </w:p>
        </w:tc>
        <w:tc>
          <w:tcPr/>
          <w:p>
            <w:pPr>
              <w:pStyle w:val="Compact"/>
              <w:jc w:val="center"/>
            </w:pPr>
            <w:r>
              <w:t xml:space="preserve">-0.700</w:t>
            </w:r>
          </w:p>
        </w:tc>
        <w:tc>
          <w:tcPr/>
          <w:p>
            <w:pPr>
              <w:pStyle w:val="Compact"/>
              <w:jc w:val="center"/>
            </w:pPr>
            <w:r>
              <w:t xml:space="preserve">0.053</w:t>
            </w:r>
          </w:p>
        </w:tc>
        <w:tc>
          <w:tcPr/>
          <w:p>
            <w:pPr>
              <w:pStyle w:val="Compact"/>
              <w:jc w:val="center"/>
            </w:pPr>
            <w:r>
              <w:t xml:space="preserve">*</w:t>
            </w:r>
          </w:p>
        </w:tc>
      </w:tr>
      <w:tr>
        <w:tc>
          <w:tcPr/>
          <w:p>
            <w:pPr>
              <w:pStyle w:val="Compact"/>
              <w:jc w:val="left"/>
            </w:pPr>
            <w:r>
              <w:rPr>
                <w:b/>
                <w:bCs/>
              </w:rPr>
              <w:t xml:space="preserve">研发投入占比</w:t>
            </w:r>
          </w:p>
        </w:tc>
        <w:tc>
          <w:tcPr/>
          <w:p>
            <w:pPr>
              <w:pStyle w:val="Compact"/>
              <w:jc w:val="center"/>
            </w:pPr>
            <w:r>
              <w:rPr>
                <w:b/>
                <w:bCs/>
              </w:rPr>
              <w:t xml:space="preserve">+0.756</w:t>
            </w:r>
          </w:p>
        </w:tc>
        <w:tc>
          <w:tcPr/>
          <w:p>
            <w:pPr>
              <w:pStyle w:val="Compact"/>
              <w:jc w:val="center"/>
            </w:pPr>
            <w:r>
              <w:rPr>
                <w:b/>
                <w:bCs/>
              </w:rPr>
              <w:t xml:space="preserve">0.030</w:t>
            </w:r>
          </w:p>
        </w:tc>
        <w:tc>
          <w:tcPr/>
          <w:p>
            <w:pPr>
              <w:pStyle w:val="Compact"/>
              <w:jc w:val="center"/>
            </w:pPr>
            <w:r>
              <w:t xml:space="preserve">**</w:t>
            </w:r>
          </w:p>
        </w:tc>
      </w:tr>
      <w:tr>
        <w:tc>
          <w:tcPr/>
          <w:p>
            <w:pPr>
              <w:pStyle w:val="Compact"/>
              <w:jc w:val="left"/>
            </w:pPr>
            <w:r>
              <w:t xml:space="preserve">员工培训时长</w:t>
            </w:r>
          </w:p>
        </w:tc>
        <w:tc>
          <w:tcPr/>
          <w:p>
            <w:pPr>
              <w:pStyle w:val="Compact"/>
              <w:jc w:val="center"/>
            </w:pPr>
            <w:r>
              <w:t xml:space="preserve">+0.605</w:t>
            </w:r>
          </w:p>
        </w:tc>
        <w:tc>
          <w:tcPr/>
          <w:p>
            <w:pPr>
              <w:pStyle w:val="Compact"/>
              <w:jc w:val="center"/>
            </w:pPr>
            <w:r>
              <w:t xml:space="preserve">0.112</w:t>
            </w:r>
          </w:p>
        </w:tc>
        <w:tc>
          <w:tcPr/>
          <w:p>
            <w:pPr>
              <w:pStyle w:val="Compact"/>
              <w:jc w:val="center"/>
            </w:pPr>
            <w:r>
              <w:t xml:space="preserve">不显著</w:t>
            </w:r>
          </w:p>
        </w:tc>
      </w:tr>
      <w:tr>
        <w:tc>
          <w:tcPr/>
          <w:p>
            <w:pPr>
              <w:pStyle w:val="Compact"/>
              <w:jc w:val="left"/>
            </w:pPr>
            <w:r>
              <w:t xml:space="preserve">独立董事比例</w:t>
            </w:r>
          </w:p>
        </w:tc>
        <w:tc>
          <w:tcPr/>
          <w:p>
            <w:pPr>
              <w:pStyle w:val="Compact"/>
              <w:jc w:val="center"/>
            </w:pPr>
            <w:r>
              <w:t xml:space="preserve">+0.491</w:t>
            </w:r>
          </w:p>
        </w:tc>
        <w:tc>
          <w:tcPr/>
          <w:p>
            <w:pPr>
              <w:pStyle w:val="Compact"/>
              <w:jc w:val="center"/>
            </w:pPr>
            <w:r>
              <w:t xml:space="preserve">0.217</w:t>
            </w:r>
          </w:p>
        </w:tc>
        <w:tc>
          <w:tcPr/>
          <w:p>
            <w:pPr>
              <w:pStyle w:val="Compact"/>
              <w:jc w:val="center"/>
            </w:pPr>
            <w:r>
              <w:t xml:space="preserve">不显著</w:t>
            </w:r>
          </w:p>
        </w:tc>
      </w:tr>
    </w:tbl>
    <w:p>
      <w:pPr>
        <w:pStyle w:val="a0"/>
      </w:pPr>
      <w:r>
        <w:t xml:space="preserve">*注：**表示p&lt;0.05显著，</w:t>
      </w:r>
      <w:r>
        <w:rPr>
          <w:i/>
          <w:iCs/>
        </w:rPr>
        <w:t xml:space="preserve">表示p&lt;0.10边际显著</w:t>
      </w:r>
    </w:p>
    <w:bookmarkEnd w:id="23"/>
    <w:bookmarkStart w:id="24" w:name="五主要发现"/>
    <w:p>
      <w:pPr>
        <w:pStyle w:val="2"/>
      </w:pPr>
      <w:r>
        <w:t xml:space="preserve">五、主要发现</w:t>
      </w:r>
    </w:p>
    <w:p>
      <w:pPr>
        <w:pStyle w:val="FirstParagraph"/>
      </w:pPr>
      <w:r>
        <w:rPr>
          <w:b/>
          <w:bCs/>
        </w:rPr>
        <w:t xml:space="preserve">（1）研发投入占比持续展现最强正相关性（r=0.76，p&lt;0.05），跨周期稳健性得到验证</w:t>
      </w:r>
    </w:p>
    <w:p>
      <w:pPr>
        <w:pStyle w:val="a0"/>
      </w:pPr>
      <w:r>
        <w:t xml:space="preserve">与2024年版本（r=0.81）相比，2025年研发投入占比与股价的正相关性虽略有减弱，但仍保持在统计显著水平。这一结果表明，在行业从”下行周期”切换到”复苏周期”的过程中，技术创新能力始终是区分企业竞争力的核心变量。阳光电源以8.0%的研发投入占比位居样本首位，同时实现81.8%的股价涨幅，连续两年成为ESG-股价正相关的最强支撑案例。</w:t>
      </w:r>
    </w:p>
    <w:p>
      <w:pPr>
        <w:pStyle w:val="a0"/>
      </w:pPr>
      <w:r>
        <w:t xml:space="preserve">值得注意的是，2025年行业回暖背景下，部分低研发企业（如通威股份，研发投入3.9%）也因硅料价格反弹获得正收益（+11.1%），这在一定程度上稀释了研发投入的区分度——但阳光电源的”一骑绝尘”（涨幅是第二名阿特斯的3倍）仍清晰展示了高研发投入的”阿尔法效应”。</w:t>
      </w:r>
    </w:p>
    <w:p>
      <w:pPr>
        <w:pStyle w:val="a0"/>
      </w:pPr>
      <w:r>
        <w:rPr>
          <w:b/>
          <w:bCs/>
        </w:rPr>
        <w:t xml:space="preserve">（2）碳排放强度与股价呈边际显著负相关（r=-0.70，p=0.053）</w:t>
      </w:r>
    </w:p>
    <w:p>
      <w:pPr>
        <w:pStyle w:val="a0"/>
      </w:pPr>
      <w:r>
        <w:t xml:space="preserve">在2025年行业复苏环境中，碳排放强度与股价的负相关性从2024年的”高度显著”（p=0.023）退化为”边际显著”（p=0.053）。这一变化的可能解释是：行业上行期投资者更关注短期业绩弹性（如硅料涨价、订单放量），而对长期低碳运营能力的定价权重暂时下降。然而，碳排放强度最低的两位企业——阳光电源（0.42）和阿特斯（0.65）——仍位列2025年涨幅前两名，说明低碳优势并未完全失效，只是其解释力在行业β行情中被部分掩盖。</w:t>
      </w:r>
    </w:p>
    <w:p>
      <w:pPr>
        <w:pStyle w:val="a0"/>
      </w:pPr>
      <w:r>
        <w:rPr>
          <w:b/>
          <w:bCs/>
        </w:rPr>
        <w:t xml:space="preserve">（3）ESG综合评级与股价呈边际正相关（r=0.68，p=0.064）</w:t>
      </w:r>
    </w:p>
    <w:p>
      <w:pPr>
        <w:pStyle w:val="a0"/>
      </w:pPr>
      <w:r>
        <w:t xml:space="preserve">2025年ESG评级与股价的正相关性同样从2024年的”显著”（p=0.036）退化为”边际显著”。这一变化与碳排放强度的逻辑一致：在行业普涨阶段，评级体系的区分功能被系统性削弱。但结构性特征依然清晰——AA级的阳光电源和A级的阿特斯位列涨幅前两名，而BBB级的TCL中环是唯一下跌的企业（-3.4%）。</w:t>
      </w:r>
    </w:p>
    <w:p>
      <w:pPr>
        <w:pStyle w:val="a0"/>
      </w:pPr>
      <w:r>
        <w:rPr>
          <w:b/>
          <w:bCs/>
        </w:rPr>
        <w:t xml:space="preserve">（4）员工培训时长与独立董事比例相关性不显著</w:t>
      </w:r>
    </w:p>
    <w:p>
      <w:pPr>
        <w:pStyle w:val="a0"/>
      </w:pPr>
      <w:r>
        <w:t xml:space="preserve">与2024年版本相比，员工培训时长从”显著正相关”（r=0.77，p&lt;0.05）退化为”不显著”（r=0.61，p=0.11）。这一变化提示：人力资本投资的股价传导可能存在较强的行业周期依赖性——在下行期（2024年），投资者更重视企业的”内功修炼”；在复苏期（2025年），短期业绩弹性成为主导叙事。</w:t>
      </w:r>
    </w:p>
    <w:bookmarkEnd w:id="24"/>
    <w:bookmarkStart w:id="25" w:name="六跨周期对比2024年-vs-2025年"/>
    <w:p>
      <w:pPr>
        <w:pStyle w:val="2"/>
      </w:pPr>
      <w:r>
        <w:t xml:space="preserve">六、跨周期对比：2024年 vs 2025年</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2024年（下行期）</w:t>
            </w:r>
          </w:p>
        </w:tc>
        <w:tc>
          <w:tcPr/>
          <w:p>
            <w:pPr>
              <w:pStyle w:val="Compact"/>
              <w:jc w:val="left"/>
            </w:pPr>
            <w:r>
              <w:t xml:space="preserve">2025年（复苏期）</w:t>
            </w:r>
          </w:p>
        </w:tc>
        <w:tc>
          <w:tcPr/>
          <w:p>
            <w:pPr>
              <w:pStyle w:val="Compact"/>
              <w:jc w:val="left"/>
            </w:pPr>
            <w:r>
              <w:t xml:space="preserve">变化趋势</w:t>
            </w:r>
          </w:p>
        </w:tc>
      </w:tr>
      <w:tr>
        <w:tc>
          <w:tcPr/>
          <w:p>
            <w:pPr>
              <w:pStyle w:val="Compact"/>
              <w:jc w:val="left"/>
            </w:pPr>
            <w:r>
              <w:rPr>
                <w:b/>
                <w:bCs/>
              </w:rPr>
              <w:t xml:space="preserve">研发投入占比-股价</w:t>
            </w:r>
          </w:p>
        </w:tc>
        <w:tc>
          <w:tcPr/>
          <w:p>
            <w:pPr>
              <w:pStyle w:val="Compact"/>
              <w:jc w:val="left"/>
            </w:pPr>
            <w:r>
              <w:t xml:space="preserve">r=0.81, p=0.015 **</w:t>
            </w:r>
          </w:p>
        </w:tc>
        <w:tc>
          <w:tcPr/>
          <w:p>
            <w:pPr>
              <w:pStyle w:val="Compact"/>
              <w:jc w:val="left"/>
            </w:pPr>
            <w:r>
              <w:t xml:space="preserve">r=0.76, p=0.030 **</w:t>
            </w:r>
          </w:p>
        </w:tc>
        <w:tc>
          <w:tcPr/>
          <w:p>
            <w:pPr>
              <w:pStyle w:val="Compact"/>
              <w:jc w:val="left"/>
            </w:pPr>
            <w:r>
              <w:t xml:space="preserve">稳健保持</w:t>
            </w:r>
          </w:p>
        </w:tc>
      </w:tr>
      <w:tr>
        <w:tc>
          <w:tcPr/>
          <w:p>
            <w:pPr>
              <w:pStyle w:val="Compact"/>
              <w:jc w:val="left"/>
            </w:pPr>
            <w:r>
              <w:rPr>
                <w:b/>
                <w:bCs/>
              </w:rPr>
              <w:t xml:space="preserve">碳排放强度-股价</w:t>
            </w:r>
          </w:p>
        </w:tc>
        <w:tc>
          <w:tcPr/>
          <w:p>
            <w:pPr>
              <w:pStyle w:val="Compact"/>
              <w:jc w:val="left"/>
            </w:pPr>
            <w:r>
              <w:t xml:space="preserve">r=-0.78, p=0.023 **</w:t>
            </w:r>
          </w:p>
        </w:tc>
        <w:tc>
          <w:tcPr/>
          <w:p>
            <w:pPr>
              <w:pStyle w:val="Compact"/>
              <w:jc w:val="left"/>
            </w:pPr>
            <w:r>
              <w:t xml:space="preserve">r=-0.70, p=0.053 *</w:t>
            </w:r>
          </w:p>
        </w:tc>
        <w:tc>
          <w:tcPr/>
          <w:p>
            <w:pPr>
              <w:pStyle w:val="Compact"/>
              <w:jc w:val="left"/>
            </w:pPr>
            <w:r>
              <w:t xml:space="preserve">边际减弱</w:t>
            </w:r>
          </w:p>
        </w:tc>
      </w:tr>
      <w:tr>
        <w:tc>
          <w:tcPr/>
          <w:p>
            <w:pPr>
              <w:pStyle w:val="Compact"/>
              <w:jc w:val="left"/>
            </w:pPr>
            <w:r>
              <w:rPr>
                <w:b/>
                <w:bCs/>
              </w:rPr>
              <w:t xml:space="preserve">ESG评级-股价</w:t>
            </w:r>
          </w:p>
        </w:tc>
        <w:tc>
          <w:tcPr/>
          <w:p>
            <w:pPr>
              <w:pStyle w:val="Compact"/>
              <w:jc w:val="left"/>
            </w:pPr>
            <w:r>
              <w:t xml:space="preserve">r=0.74, p=0.036 **</w:t>
            </w:r>
          </w:p>
        </w:tc>
        <w:tc>
          <w:tcPr/>
          <w:p>
            <w:pPr>
              <w:pStyle w:val="Compact"/>
              <w:jc w:val="left"/>
            </w:pPr>
            <w:r>
              <w:t xml:space="preserve">r=0.68, p=0.064 *</w:t>
            </w:r>
          </w:p>
        </w:tc>
        <w:tc>
          <w:tcPr/>
          <w:p>
            <w:pPr>
              <w:pStyle w:val="Compact"/>
              <w:jc w:val="left"/>
            </w:pPr>
            <w:r>
              <w:t xml:space="preserve">边际减弱</w:t>
            </w:r>
          </w:p>
        </w:tc>
      </w:tr>
      <w:tr>
        <w:tc>
          <w:tcPr/>
          <w:p>
            <w:pPr>
              <w:pStyle w:val="Compact"/>
              <w:jc w:val="left"/>
            </w:pPr>
            <w:r>
              <w:rPr>
                <w:b/>
                <w:bCs/>
              </w:rPr>
              <w:t xml:space="preserve">员工培训-股价</w:t>
            </w:r>
          </w:p>
        </w:tc>
        <w:tc>
          <w:tcPr/>
          <w:p>
            <w:pPr>
              <w:pStyle w:val="Compact"/>
              <w:jc w:val="left"/>
            </w:pPr>
            <w:r>
              <w:t xml:space="preserve">r=0.77, p=0.025 **</w:t>
            </w:r>
          </w:p>
        </w:tc>
        <w:tc>
          <w:tcPr/>
          <w:p>
            <w:pPr>
              <w:pStyle w:val="Compact"/>
              <w:jc w:val="left"/>
            </w:pPr>
            <w:r>
              <w:t xml:space="preserve">r=0.61, p=0.112 ns</w:t>
            </w:r>
          </w:p>
        </w:tc>
        <w:tc>
          <w:tcPr/>
          <w:p>
            <w:pPr>
              <w:pStyle w:val="Compact"/>
              <w:jc w:val="left"/>
            </w:pPr>
            <w:r>
              <w:t xml:space="preserve">显著减弱</w:t>
            </w:r>
          </w:p>
        </w:tc>
      </w:tr>
      <w:tr>
        <w:tc>
          <w:tcPr/>
          <w:p>
            <w:pPr>
              <w:pStyle w:val="Compact"/>
              <w:jc w:val="left"/>
            </w:pPr>
            <w:r>
              <w:rPr>
                <w:b/>
                <w:bCs/>
              </w:rPr>
              <w:t xml:space="preserve">独董比例-股价</w:t>
            </w:r>
          </w:p>
        </w:tc>
        <w:tc>
          <w:tcPr/>
          <w:p>
            <w:pPr>
              <w:pStyle w:val="Compact"/>
              <w:jc w:val="left"/>
            </w:pPr>
            <w:r>
              <w:t xml:space="preserve">r=0.62, p=0.104 ns</w:t>
            </w:r>
          </w:p>
        </w:tc>
        <w:tc>
          <w:tcPr/>
          <w:p>
            <w:pPr>
              <w:pStyle w:val="Compact"/>
              <w:jc w:val="left"/>
            </w:pPr>
            <w:r>
              <w:t xml:space="preserve">r=0.49, p=0.217 ns</w:t>
            </w:r>
          </w:p>
        </w:tc>
        <w:tc>
          <w:tcPr/>
          <w:p>
            <w:pPr>
              <w:pStyle w:val="Compact"/>
              <w:jc w:val="left"/>
            </w:pPr>
            <w:r>
              <w:t xml:space="preserve">持续不显著</w:t>
            </w:r>
          </w:p>
        </w:tc>
      </w:tr>
    </w:tbl>
    <w:p>
      <w:pPr>
        <w:pStyle w:val="a0"/>
      </w:pPr>
      <w:r>
        <w:rPr>
          <w:b/>
          <w:bCs/>
        </w:rPr>
        <w:t xml:space="preserve">核心结论</w:t>
      </w:r>
      <w:r>
        <w:t xml:space="preserve">：研发投入占比是唯一在两种截然不同的市场环境中均保持统计显著性的ESG指标，展现出最强的跨周期稳健性。碳排放强度和ESG综合评级的相关性在行业上行期有所衰减，但仍保持方向一致性。员工培训时长的相关性具有较强的周期依赖性。</w:t>
      </w:r>
    </w:p>
    <w:bookmarkEnd w:id="25"/>
    <w:bookmarkStart w:id="26" w:name="七案例分析阳光电源的esg阿尔法"/>
    <w:p>
      <w:pPr>
        <w:pStyle w:val="2"/>
      </w:pPr>
      <w:r>
        <w:t xml:space="preserve">七、案例分析：阳光电源的”ESG阿尔法”</w:t>
      </w:r>
    </w:p>
    <w:p>
      <w:pPr>
        <w:pStyle w:val="FirstParagraph"/>
      </w:pPr>
      <w:r>
        <w:t xml:space="preserve">阳光电源连续两年成为ESG表现与股价表现双重最优的标杆案例：</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2024年表现</w:t>
            </w:r>
          </w:p>
        </w:tc>
        <w:tc>
          <w:tcPr/>
          <w:p>
            <w:pPr>
              <w:pStyle w:val="Compact"/>
              <w:jc w:val="left"/>
            </w:pPr>
            <w:r>
              <w:t xml:space="preserve">2025年表现</w:t>
            </w:r>
          </w:p>
        </w:tc>
      </w:tr>
      <w:tr>
        <w:tc>
          <w:tcPr/>
          <w:p>
            <w:pPr>
              <w:pStyle w:val="Compact"/>
              <w:jc w:val="left"/>
            </w:pPr>
            <w:r>
              <w:t xml:space="preserve">研发投入占比</w:t>
            </w:r>
          </w:p>
        </w:tc>
        <w:tc>
          <w:tcPr/>
          <w:p>
            <w:pPr>
              <w:pStyle w:val="Compact"/>
              <w:jc w:val="left"/>
            </w:pPr>
            <w:r>
              <w:t xml:space="preserve">7.8%（样本第1）</w:t>
            </w:r>
          </w:p>
        </w:tc>
        <w:tc>
          <w:tcPr/>
          <w:p>
            <w:pPr>
              <w:pStyle w:val="Compact"/>
              <w:jc w:val="left"/>
            </w:pPr>
            <w:r>
              <w:t xml:space="preserve">8.0%（样本第1）</w:t>
            </w:r>
          </w:p>
        </w:tc>
      </w:tr>
      <w:tr>
        <w:tc>
          <w:tcPr/>
          <w:p>
            <w:pPr>
              <w:pStyle w:val="Compact"/>
              <w:jc w:val="left"/>
            </w:pPr>
            <w:r>
              <w:t xml:space="preserve">碳排放强度</w:t>
            </w:r>
          </w:p>
        </w:tc>
        <w:tc>
          <w:tcPr/>
          <w:p>
            <w:pPr>
              <w:pStyle w:val="Compact"/>
              <w:jc w:val="left"/>
            </w:pPr>
            <w:r>
              <w:t xml:space="preserve">0.45（样本最低）</w:t>
            </w:r>
          </w:p>
        </w:tc>
        <w:tc>
          <w:tcPr/>
          <w:p>
            <w:pPr>
              <w:pStyle w:val="Compact"/>
              <w:jc w:val="left"/>
            </w:pPr>
            <w:r>
              <w:t xml:space="preserve">0.42（样本最低）</w:t>
            </w:r>
          </w:p>
        </w:tc>
      </w:tr>
      <w:tr>
        <w:tc>
          <w:tcPr/>
          <w:p>
            <w:pPr>
              <w:pStyle w:val="Compact"/>
              <w:jc w:val="left"/>
            </w:pPr>
            <w:r>
              <w:t xml:space="preserve">ESG评级</w:t>
            </w:r>
          </w:p>
        </w:tc>
        <w:tc>
          <w:tcPr/>
          <w:p>
            <w:pPr>
              <w:pStyle w:val="Compact"/>
              <w:jc w:val="left"/>
            </w:pPr>
            <w:r>
              <w:t xml:space="preserve">AA</w:t>
            </w:r>
          </w:p>
        </w:tc>
        <w:tc>
          <w:tcPr/>
          <w:p>
            <w:pPr>
              <w:pStyle w:val="Compact"/>
              <w:jc w:val="left"/>
            </w:pPr>
            <w:r>
              <w:t xml:space="preserve">AA</w:t>
            </w:r>
          </w:p>
        </w:tc>
      </w:tr>
      <w:tr>
        <w:tc>
          <w:tcPr/>
          <w:p>
            <w:pPr>
              <w:pStyle w:val="Compact"/>
              <w:jc w:val="left"/>
            </w:pPr>
            <w:r>
              <w:t xml:space="preserve">股价涨跌幅</w:t>
            </w:r>
          </w:p>
        </w:tc>
        <w:tc>
          <w:tcPr/>
          <w:p>
            <w:pPr>
              <w:pStyle w:val="Compact"/>
              <w:jc w:val="left"/>
            </w:pPr>
            <w:r>
              <w:rPr>
                <w:b/>
                <w:bCs/>
              </w:rPr>
              <w:t xml:space="preserve">+12.3%</w:t>
            </w:r>
            <w:r>
              <w:t xml:space="preserve">（唯一正增长）</w:t>
            </w:r>
          </w:p>
        </w:tc>
        <w:tc>
          <w:tcPr/>
          <w:p>
            <w:pPr>
              <w:pStyle w:val="Compact"/>
              <w:jc w:val="left"/>
            </w:pPr>
            <w:r>
              <w:rPr>
                <w:b/>
                <w:bCs/>
              </w:rPr>
              <w:t xml:space="preserve">+81.8%</w:t>
            </w:r>
            <w:r>
              <w:t xml:space="preserve">（涨幅第1）</w:t>
            </w:r>
          </w:p>
        </w:tc>
      </w:tr>
    </w:tbl>
    <w:p>
      <w:pPr>
        <w:pStyle w:val="a0"/>
      </w:pPr>
      <w:r>
        <w:t xml:space="preserve">阳光电源的连续优异表现揭示了光伏行业投资逻辑的深层转变：在行业从”产能驱动”转向”技术+品牌驱动”的新阶段，ESG维度中的创新投入（S）和全球化低碳运营（E）不仅是”合规成本”，更是构建竞争壁垒、获取超额收益（Alpha）的战略资产。2025年其储能业务营收占比突破40%，海外收入占比升至60%，正是高研发投入和低碳供应链能力的直接变现。</w:t>
      </w:r>
    </w:p>
    <w:bookmarkEnd w:id="26"/>
    <w:bookmarkStart w:id="27" w:name="八研究局限与展望"/>
    <w:p>
      <w:pPr>
        <w:pStyle w:val="2"/>
      </w:pPr>
      <w:r>
        <w:t xml:space="preserve">八、研究局限与展望</w:t>
      </w:r>
    </w:p>
    <w:p>
      <w:pPr>
        <w:pStyle w:val="FirstParagraph"/>
      </w:pPr>
      <w:r>
        <w:rPr>
          <w:b/>
          <w:bCs/>
        </w:rPr>
        <w:t xml:space="preserve">局限性</w:t>
      </w:r>
      <w:r>
        <w:t xml:space="preserve">：</w:t>
      </w:r>
      <w:r>
        <w:t xml:space="preserve"> </w:t>
      </w:r>
      <w:r>
        <w:t xml:space="preserve">1. 样本量较小（n=8），统计检验力有限，2025年部分指标从”显著”退化为”边际显著”可能部分源于样本量约束</w:t>
      </w:r>
      <w:r>
        <w:t xml:space="preserve"> </w:t>
      </w:r>
      <w:r>
        <w:t xml:space="preserve">2. ESG数据为基于公开年报的合理估算，实际披露口径可能存在差异</w:t>
      </w:r>
      <w:r>
        <w:t xml:space="preserve"> </w:t>
      </w:r>
      <w:r>
        <w:t xml:space="preserve">3. 2025年股价数据为基于公开信息的估算值，精确度不及2024年封盘数据</w:t>
      </w:r>
      <w:r>
        <w:t xml:space="preserve"> </w:t>
      </w:r>
      <w:r>
        <w:t xml:space="preserve">4. 两年对比仍属短周期观察，无法排除偶然因素干扰</w:t>
      </w:r>
    </w:p>
    <w:p>
      <w:pPr>
        <w:pStyle w:val="a0"/>
      </w:pPr>
      <w:r>
        <w:rPr>
          <w:b/>
          <w:bCs/>
        </w:rPr>
        <w:t xml:space="preserve">未来研究方向</w:t>
      </w:r>
      <w:r>
        <w:t xml:space="preserve">：</w:t>
      </w:r>
      <w:r>
        <w:t xml:space="preserve"> </w:t>
      </w:r>
      <w:r>
        <w:t xml:space="preserve">1. 扩大样本至15-20家新能源企业，提升统计检验力</w:t>
      </w:r>
      <w:r>
        <w:t xml:space="preserve"> </w:t>
      </w:r>
      <w:r>
        <w:t xml:space="preserve">2. 引入2019-2025年完整面板数据，构建固定效应模型控制行业周期</w:t>
      </w:r>
      <w:r>
        <w:t xml:space="preserve"> </w:t>
      </w:r>
      <w:r>
        <w:t xml:space="preserve">3. 区分ESG的”防御性价值”（下行期抗跌）与”进攻性价值”（上行期领涨）</w:t>
      </w:r>
      <w:r>
        <w:t xml:space="preserve"> </w:t>
      </w:r>
      <w:r>
        <w:t xml:space="preserve">4. 结合事件研究法，量化ESG评级调整公告的短期市场反应</w:t>
      </w:r>
    </w:p>
    <w:bookmarkEnd w:id="27"/>
    <w:bookmarkStart w:id="28" w:name="九参考文献"/>
    <w:p>
      <w:pPr>
        <w:pStyle w:val="2"/>
      </w:pPr>
      <w:r>
        <w:t xml:space="preserve">九、参考文献</w:t>
      </w:r>
    </w:p>
    <w:p>
      <w:pPr>
        <w:pStyle w:val="Compact"/>
        <w:numPr>
          <w:ilvl w:val="0"/>
          <w:numId w:val="1001"/>
        </w:numPr>
      </w:pPr>
      <w:r>
        <w:t xml:space="preserve">隆基绿能股份有限公司. 2024年年度报告[R]. 2025.</w:t>
      </w:r>
    </w:p>
    <w:p>
      <w:pPr>
        <w:pStyle w:val="Compact"/>
        <w:numPr>
          <w:ilvl w:val="0"/>
          <w:numId w:val="1001"/>
        </w:numPr>
      </w:pPr>
      <w:r>
        <w:t xml:space="preserve">通威股份有限公司. 2024年年度报告[R]. 2025.</w:t>
      </w:r>
    </w:p>
    <w:p>
      <w:pPr>
        <w:pStyle w:val="Compact"/>
        <w:numPr>
          <w:ilvl w:val="0"/>
          <w:numId w:val="1001"/>
        </w:numPr>
      </w:pPr>
      <w:r>
        <w:t xml:space="preserve">晶科能源股份有限公司. 2024年年度报告[R]. 2025.</w:t>
      </w:r>
    </w:p>
    <w:p>
      <w:pPr>
        <w:pStyle w:val="Compact"/>
        <w:numPr>
          <w:ilvl w:val="0"/>
          <w:numId w:val="1001"/>
        </w:numPr>
      </w:pPr>
      <w:r>
        <w:t xml:space="preserve">晶澳科技股份有限公司. 2024年年度报告[R]. 2025.</w:t>
      </w:r>
    </w:p>
    <w:p>
      <w:pPr>
        <w:pStyle w:val="Compact"/>
        <w:numPr>
          <w:ilvl w:val="0"/>
          <w:numId w:val="1001"/>
        </w:numPr>
      </w:pPr>
      <w:r>
        <w:t xml:space="preserve">天合光能股份有限公司. 2024年年度报告[R]. 2025.</w:t>
      </w:r>
    </w:p>
    <w:p>
      <w:pPr>
        <w:pStyle w:val="Compact"/>
        <w:numPr>
          <w:ilvl w:val="0"/>
          <w:numId w:val="1001"/>
        </w:numPr>
      </w:pPr>
      <w:r>
        <w:t xml:space="preserve">TCL中环新能源科技股份有限公司. 2024年年度报告[R]. 2025.</w:t>
      </w:r>
    </w:p>
    <w:p>
      <w:pPr>
        <w:pStyle w:val="Compact"/>
        <w:numPr>
          <w:ilvl w:val="0"/>
          <w:numId w:val="1001"/>
        </w:numPr>
      </w:pPr>
      <w:r>
        <w:t xml:space="preserve">阳光电源股份有限公司. 2024年年度报告[R]. 2025.</w:t>
      </w:r>
    </w:p>
    <w:p>
      <w:pPr>
        <w:pStyle w:val="Compact"/>
        <w:numPr>
          <w:ilvl w:val="0"/>
          <w:numId w:val="1001"/>
        </w:numPr>
      </w:pPr>
      <w:r>
        <w:t xml:space="preserve">阿特斯阳光电力集团股份有限公司. 2024年年度报告[R]. 2025.</w:t>
      </w:r>
    </w:p>
    <w:p>
      <w:pPr>
        <w:pStyle w:val="Compact"/>
        <w:numPr>
          <w:ilvl w:val="0"/>
          <w:numId w:val="1001"/>
        </w:numPr>
      </w:pPr>
      <w:r>
        <w:t xml:space="preserve">华证指数有限公司. ESG评级数据[DB/OL]. http://www.chindices.com</w:t>
      </w:r>
    </w:p>
    <w:p>
      <w:pPr>
        <w:pStyle w:val="Compact"/>
        <w:numPr>
          <w:ilvl w:val="0"/>
          <w:numId w:val="1001"/>
        </w:numPr>
      </w:pPr>
      <w:r>
        <w:t xml:space="preserve">东方财富网. 股票行情数据[DB/OL]. https://quote.eastmoney.com</w:t>
      </w:r>
    </w:p>
    <w:p>
      <w:r>
        <w:pict>
          <v:rect style="width:0;height:1.5pt" o:hralign="center" o:hrstd="t" o:hr="t"/>
        </w:pict>
      </w:r>
    </w:p>
    <w:p>
      <w:pPr>
        <w:pStyle w:val="FirstParagraph"/>
      </w:pPr>
      <w:r>
        <w:rPr>
          <w:i/>
          <w:iCs/>
        </w:rPr>
        <w:t xml:space="preserve">本报告为独立研究项目，数据来源于公开渠道，仅供学术交流使用。</w:t>
      </w:r>
      <w:r>
        <w:t xml:space="preserve"> </w:t>
      </w:r>
      <w:r>
        <w:rPr>
          <w:i/>
          <w:iCs/>
        </w:rPr>
        <w:t xml:space="preserve">2025年股价数据基于公开信息整理估算，具体数值以交易所官方披露为准。</w:t>
      </w:r>
    </w:p>
    <w:bookmarkEnd w:id="28"/>
    <w:bookmarkEnd w:id="2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2026-05-12T03:20:28Z</dcterms:created>
  <dcterms:modified xsi:type="dcterms:W3CDTF">2026-05-12T03:20:28Z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us094dm2cikgivikdqg-19e161e1-f3a2-8689-8000-09410489e289-20260512032028","ReservedCode1":"","ContentPropagator":"001191110108MACG2KBH8F20000","PropagateID":"cus094dm2cikgivikdqg-19e161e1-f3a2-8689-8000-09410489e289-20260512032028","ReservedCode2":""}</vt:lpwstr>
  </property>
</Properties>
</file>