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Digital Ease B.V. — Raamovereenkomst Managed IT Services 2026–2030</w:t>
      </w:r>
    </w:p>
    <w:p>
      <w:pPr>
        <w:spacing w:lineRule="auto"/>
      </w:pPr>
      <w:r>
        <w:rPr/>
        <w:t xml:space="preserve">     24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– Raamovereenkomst Managed IT Services 2026–2030 Inschrijver: Digital Ease B.V. KvK-nummer: 88392011</w:t>
      </w:r>
    </w:p>
    <w:p>
      <w:pPr>
        <w:spacing w:lineRule="auto"/>
      </w:pPr>
      <w:r>
        <w:rPr/>
        <w:t xml:space="preserve">Overzicht bewijstukken</w:t>
      </w:r>
    </w:p>
    <w:p>
      <w:pPr>
        <w:spacing w:lineRule="auto"/>
      </w:pPr>
      <w:r>
        <w:rPr/>
        <w:t xml:space="preserve">Tabel 1 – Overzicht bewijsstukken en relatie met eisen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 (W-xx/KO/REQ)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Verwijzing (pag./sectie)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Uittreksel Kamer van Koophandel Digital Ease B.V.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 – Rechtsgeldige inschrijving / 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2 – Sectie 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Kopie geldig legitimatiebewijs tekeningsbevoegde(n)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 – Bevoegdheid tot ondertekening / 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3 – Sectie 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Ondertekende inschrijvings- en integriteitsverklaring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 – Integriteit / uitsluitingsgronden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4 – Sectie 2.1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 verklaring geschiktheidseisen (technisch, financieel, economisch)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 – Geschiktheidseisen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5–6 – Sectie 2.2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Verklaring betalingsgedrag Belastingdienst (indien vereist)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 – Fiscale en sociale betrouwbaarheid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7 – Sectie 2.3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jaaromzet relevante ICT-diensten laatste 3 boekjaren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– Financiële draagkracht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8 – Sectie 3.1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Jaarrekening(en) Digital Ease B.V. (laatste beschikbaar afgesloten boekjaar)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– Financiële draagkracht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9–15 – Sectie 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Referentieproject 1 – Managed IT Services provinciale overheid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– Referentie-eis Managed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16–19 – Sectie 4.1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Referentieproject 2 – Managed Workplace &amp; Service Desk zorginstelling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– Referentie-eis End User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20–23 – Sectie 4.2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Referentieproject 3 – Cloud &amp; Datacenter Services gemeente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– Referentie-eis Cloud &amp; Infra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24–27 – Sectie 4.3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kernteam Managed IT Services (CV’s en rollen)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W-20 – Kwalificaties kernteam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28–33 – Sectie 5.1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Organogram project- en beheerorganisatie Managed IT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W-21 – Organisatie &amp;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34 – Sectie 5.2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Procesbeschrijving incident-, probleem- en change­management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Beheerprocessen / ITIL-werkwijze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35–38 – Sectie 6.1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Voorbeeld SLA Managed IT Services (respons- en oplostijden, beschikbaarheid)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Servicelevels en 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39–42 – Sectie 6.2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Continuïteits- en uitwijkplan (disaster recovery, back-up, RTO/RPO)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Continuïteitsvereisten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43–46 – Sectie 6.3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Informatiebeveiligingsbeleid Digital Ease B.V.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Informatiebeveiliging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47–51 – Sectie 7.1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ISMS-overzicht en relevante procedures (toegangsbeheer, logging, patching)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Beveiligings­maatregelen operationeel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52–56 – Sectie 7.2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Verwerkersovereenkomst-model voor Managed IT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AVG / gegevensbescherming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57–60 – Sectie 7.3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DPIA-aanpak en voorbeeldrapportage (geanonimiseerd)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W-30 – Privacy-impact / AVG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61–63 – Sectie 7.4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Kwaliteitsmanagementbeschrijving (PDCA, audits, reviews)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W-40 – Kwaliteitsborging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64–67 – Sectie 8.1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toegepaste standaarden (o.a. ITIL, BiSL, ISO 27001-conform)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Gebruik internationale standaarden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68–69 – Sectie 8.2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Change- en releasekalender-voorbeeld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Release- en wijzigingsbeheer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70–72 – Sectie 8.3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Servicecatalogus Managed IT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Omschrijving diensten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73–77 – Sectie 9.1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Onboarding- en transitieplan nieuwe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Transitie &amp; migratie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78–82 – Sectie 9.2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Exit- en overdrachtsplan einde looptijd raamovereenkomst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Exitstrategie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83–86 – Sectie 9.3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monitoring- en rapportageproposities (dashboard, managementrapport)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Rapportage &amp;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87–90 – Sectie 10.1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 escalatieprocedure en overlegstructuur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Governance &amp; samenwerking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91–93 – Sectie 10.2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MVO- en duurzaamheidsbeleid Digital Ease B.V.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W-50 – Duurzaamheid / MVO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94–97 – Sectie 11.1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maatregelen energie-efficiënte datacenters en devices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Duurzame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98–100 – Sectie 11.2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Opleidings- en kennisplan voor beheerteams en key users klant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Kennisborging &amp; adoptie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101–104 – Sectie 12.1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beveiligingsincidenten laatste 3 jaar en genomen verbetermaatregelen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W-60 – Leren van incidenten / continu verbeteren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105–107 – Sectie 12.2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Verklaring geheimhouding en vertrouwelijkheid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Geheimhoudingsverplichting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108 – Sectie 13.1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uitbestede diensten en onderaannemers (indien van toepassing)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W-70 – Gebruik derden / ketenregie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109–111 – Sectie 13.2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 leveranciers- en licentiebeheer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– Ketenbeheer licenties en third party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112–114 – Sectie 13.3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Verklaring naleving aanbestedingsrechtelijke bepalingen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 – Aanbestedingsrecht &amp; integriteit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Pag. 115 – Sectie 14.1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2025-12-24T16:16:07.624Z</dcterms:created>
  <dcterms:modified xsi:type="dcterms:W3CDTF">2025-12-24T16:16:07.624Z</dcterms:modified>
</cp:coreProperties>
</file>