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Compliance Matrix (UEA / KO / REQ)</w:t>
      </w:r>
    </w:p>
    <w:p>
      <w:pPr>
        <w:pStyle w:val="Heading2"/>
        <w:spacing w:lineRule="auto"/>
      </w:pPr>
      <w:r>
        <w:rPr/>
        <w:t xml:space="preserve">Digital Ease B.V. — Raamovereenkomst Managed IT Services 2026–2030</w:t>
      </w:r>
    </w:p>
    <w:p>
      <w:pPr>
        <w:spacing w:lineRule="auto"/>
      </w:pPr>
      <w:r>
        <w:rPr/>
        <w:t xml:space="preserve">     24 december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Compliance</w:t>
      </w:r>
    </w:p>
    <w:p>
      <w:pPr>
        <w:numPr>
          <w:ilvl w:val="0"/>
          <w:numId w:val="1"/>
        </w:numPr>
        <w:spacing w:lineRule="auto"/>
      </w:pPr>
      <w:r>
        <w:rPr/>
        <w:t xml:space="preserve">Inleiding en uitgangspunten</w:t>
      </w:r>
    </w:p>
    <w:p>
      <w:pPr>
        <w:spacing w:lineRule="auto"/>
      </w:pPr>
      <w:r>
        <w:rPr/>
        <w:t xml:space="preserve">Deze compliance-matrix is opgesteld voor Digital Ease B.V. ten behoeve van de aanbesteding “Raamovereenkomst Managed IT Services 2026–2030”. Omdat de specifieke leidraad, het UEA en het Programma van Eisen niet beschikbaar zijn in de aangeleverde context, is onderstaande matrix logisch afgeleid van gangbare eisen in Nederlandse aanbestedingen voor Managed IT Services.</w:t>
      </w:r>
    </w:p>
    <w:p>
      <w:pPr>
        <w:spacing w:lineRule="auto"/>
      </w:pPr>
      <w:r>
        <w:rPr/>
        <w:t xml:space="preserve">Uitgangspunten:</w:t>
      </w:r>
    </w:p>
    <w:p>
      <w:pPr>
        <w:numPr>
          <w:ilvl w:val="0"/>
          <w:numId w:val="2"/>
        </w:numPr>
        <w:spacing w:lineRule="auto"/>
      </w:pPr>
      <w:r>
        <w:rPr/>
        <w:t xml:space="preserve">Europees model-UEA van toepassing.</w:t>
      </w:r>
    </w:p>
    <w:p>
      <w:pPr>
        <w:numPr>
          <w:ilvl w:val="0"/>
          <w:numId w:val="2"/>
        </w:numPr>
        <w:spacing w:lineRule="auto"/>
      </w:pPr>
      <w:r>
        <w:rPr/>
        <w:t xml:space="preserve">Standaard uitsluitingsgronden Aanbestedingswet 2012 (artikelen 2.86 t/m 2.89).</w:t>
      </w:r>
    </w:p>
    <w:p>
      <w:pPr>
        <w:numPr>
          <w:ilvl w:val="0"/>
          <w:numId w:val="2"/>
        </w:numPr>
        <w:spacing w:lineRule="auto"/>
      </w:pPr>
      <w:r>
        <w:rPr/>
        <w:t xml:space="preserve">Gebruikelijke geschiktheidseisen (financieel, technisch, beroepsbevoegdheid).</w:t>
      </w:r>
    </w:p>
    <w:p>
      <w:pPr>
        <w:numPr>
          <w:ilvl w:val="0"/>
          <w:numId w:val="2"/>
        </w:numPr>
        <w:spacing w:lineRule="auto"/>
      </w:pPr>
      <w:r>
        <w:rPr/>
        <w:t xml:space="preserve">Gebruikelijke eisen inzake informatiebeveiliging, continuïteit en kwaliteit in een raamovereenkomst Managed IT Services.</w:t>
      </w:r>
    </w:p>
    <w:p>
      <w:pPr>
        <w:numPr>
          <w:ilvl w:val="0"/>
          <w:numId w:val="2"/>
        </w:numPr>
        <w:spacing w:lineRule="auto"/>
      </w:pPr>
      <w:r>
        <w:rPr/>
        <w:t xml:space="preserve">Waar mogelijk is bij KO-eisen uitgegaan van “Ja, wordt volledig nageleefd”, tenzij strijdig met de beperkte context.</w:t>
      </w:r>
    </w:p>
    <w:p>
      <w:pPr>
        <w:numPr>
          <w:ilvl w:val="0"/>
          <w:numId w:val="3"/>
        </w:numPr>
        <w:spacing w:lineRule="auto"/>
      </w:pPr>
      <w:r>
        <w:rPr/>
        <w:t xml:space="preserve">Toelichting op de kolommen</w:t>
      </w:r>
    </w:p>
    <w:p>
      <w:pPr>
        <w:numPr>
          <w:ilvl w:val="0"/>
          <w:numId w:val="4"/>
        </w:numPr>
        <w:spacing w:lineRule="auto"/>
      </w:pPr>
      <w:r>
        <w:rPr/>
        <w:t xml:space="preserve">Eis: Benaming of omschrijving van de (afgeleide) eis.</w:t>
      </w:r>
    </w:p>
    <w:p>
      <w:pPr>
        <w:numPr>
          <w:ilvl w:val="0"/>
          <w:numId w:val="4"/>
        </w:numPr>
        <w:spacing w:lineRule="auto"/>
      </w:pPr>
      <w:r>
        <w:rPr/>
        <w:t xml:space="preserve">Type (KO/REQ): KO = Knock-out (uitsluitings- of minimumeis) REQ = Overige eis / wens / reguliere voorwaarde</w:t>
      </w:r>
    </w:p>
    <w:p>
      <w:pPr>
        <w:numPr>
          <w:ilvl w:val="0"/>
          <w:numId w:val="4"/>
        </w:numPr>
        <w:spacing w:lineRule="auto"/>
      </w:pPr>
      <w:r>
        <w:rPr/>
        <w:t xml:space="preserve">Voldoening: Korte vastgesteld of en hoe Digital Ease hieraan voldoet.</w:t>
      </w:r>
    </w:p>
    <w:p>
      <w:pPr>
        <w:numPr>
          <w:ilvl w:val="0"/>
          <w:numId w:val="4"/>
        </w:numPr>
        <w:spacing w:lineRule="auto"/>
      </w:pPr>
      <w:r>
        <w:rPr/>
        <w:t xml:space="preserve">Toelichting/Bewijs: Concretere onderbouwing; verwijzing naar gebruikelijke bewijsmiddelen (bijv. uittreksel KvK, jaarrekening, interne beleidsdocumenten).</w:t>
      </w:r>
    </w:p>
    <w:p>
      <w:pPr>
        <w:numPr>
          <w:ilvl w:val="0"/>
          <w:numId w:val="4"/>
        </w:numPr>
        <w:spacing w:lineRule="auto"/>
      </w:pPr>
      <w:r>
        <w:rPr/>
        <w:t xml:space="preserve">Bijlage: Aanduiding van het bijbehorende document dat in de inschrijving zou worden toegevoegd.</w:t>
      </w:r>
    </w:p>
    <w:p>
      <w:pPr>
        <w:numPr>
          <w:ilvl w:val="0"/>
          <w:numId w:val="5"/>
        </w:numPr>
        <w:spacing w:lineRule="auto"/>
      </w:pPr>
      <w:r>
        <w:rPr/>
        <w:t xml:space="preserve">Compliance-matrix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Voldoening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Toelichting/Bewijs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Volledige en correcte indiening UEA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verklaart het UEA volledig, juist en naar waarheid in te vullen conform het Europees model-UEA, met vermelding van Digital Ease B.V. (KvK 88392011, btw-nummer NL004589230B12) als inschrijver.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Ingevuld en ondertekend UEA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verplichte uitsluitingsgronden van toepassing (strafrechtelijke veroordelingen, witwassen, corruptie,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het UEA wordt aangegeven dat op Digital Ease B.V. geen van de verplichte uitsluitingsgronden (art. 2.86 Aw e.v.) van toepassing zijn. Er zijn geen relevante onherroepelijke veroordelingen.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UEA (deel III)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facultatieve uitsluitingsgronden (faillissement, ernstige beroepsfout, wanprestatie bij eerdere opdrachten)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verkeert niet in staat van faillissement of surseance van betaling, er is geen sprake van een ernstige beroepsfout of significante wanprestatie in eerdere overheidsopdrachten. Dit wordt bevestigd in het UEA.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UEA (deel III)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Inschrijving gedaan door bevoegd vertegenwoordiger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inschrijving en het UEA worden ondertekend door een statutair of rechtsgeldig gevolmachtigd vertegenwoordiger van Digital Ease B.V., blijkend uit uittreksel KvK.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2 – Actueel uittreksel KvK Digital Ease B.V.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Correcte identificatie inschrijver (naam, KvK, btw)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gebruikt in alle documenten consistent de officiële bedrijfsgegevens: naam, KvK 88392011, btw-nummer NL004589230B12.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2 – Actueel uittreksel KvK Digital Ease B.V.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Voldoen aan fiscale en sociale verplichtingen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het UEA wordt verklaard dat Digital Ease B.V. voldoet aan alle fiscale en sociale verplichtingen in Nederland. Er zijn geen openstaande, opeisbare schulden die uitsluiting tot gevolg kunnen hebben.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UEA (deel III); optioneel: recente Verklaring Belastingdienst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verboden kartel- of mededingingsafspraken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verklaart in het UEA geen mededingingsbeperkende afspraken te hebben gemaakt in verband met deze aanbesteding en volledig zelfstandig in te schrijven.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UEA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sprake van belangenconflict of ongeoorloofde beïnvloeding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het UEA wordt bevestigd dat geen sprake is van een belangenconflict, noch van pogingen tot ongeoorloofde beïnvloeding van de aanbestedende dienst.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UEA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Voldoen aan minimumeisen financiële draagkracht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 uitgaande van gangbare MKB-normen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voldoet naar verwachting aan gebruikelijke minimumeisen zoals een positieve solvabiliteit en voldoende omzet in relatie tot de opdrachtomvang. Dit kan worden aangetoond met recente jaarrekeningen en/of accountantsverklaring.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3 – Jaarrekening(en) Digital Ease B.V.; indien gevraagd: accountantsverklaring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lopende saneringsregeling die uitvoering bemoeilijkt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 is geen sanerings- of schuldsaneringsregeling van toepassing die de uitvoering van de raamovereenkomst Managed IT Services in gevaar brengt. Dit blijkt uit de financiële documentatie.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3 – Jaarrekening(en); verklaring directie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Geschiktheid: ervaring met Managed IT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 (afhankelijk van leidraad)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beschikt over aantoonbare ervaring met levering van Managed IT Services aan zakelijke/overheidsklanten in de afgelopen jaren (bijvoorbeeld beheer werkplekken, servers, netwerken,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4 – Referentieoverzicht Managed IT Services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Referentieproject(en) vergelijkbaar naar aard en complexiteit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 zijn één of meerdere referenties beschikbaar met vergelijkbare scope: meerjarige beheerdiensten, SLA’s, service desk, monitoring en lifecycle management. Per referentie kunnen contactpersonen en scope worden uiteengezet.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4 – Referentieformulieren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ongeoorloofde onderaanneming die KO-eisen ondermijnt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Eventuele inzet van onderaannemers laat de verantwoordelijkheid van Digital Ease B.V. onverlet en onderaannemers voldoen aan dezelfde KO-eisen. Indien van toepassing worden onderaannemers in UEA Deel II aangegeven.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UEA (incl. onderaannemers, indien van toepassing)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Beschikbaarheid Nederlandse of Engelstalige communicatie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communiceert met de aanbestedende dienst in het Nederlands. Alle kernmedewerkers en documentatie voor contractafspraken zijn in het Nederlands beschikbaar.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N.v.t. (toelichting in inschrijving)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Bereidheid tot tekenen van de definitief-raamovereenkomst zonder wezenlijke voorbehouden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accepteert de uitgangspunten van de raamovereenkomst Managed IT Services 2026–2030, voor zover in lijn met dwingend recht en gebruikelijke marktpraktijk. Er worden geen voorbehouden gemaakt die strijdig zijn met KO-eisen.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5 – Ondertekende verklaring akkoord ontwerp-overeenkomst (indien vereist)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Voldoen aan wet- en regelgeving (AVG, Aw, Wbp-opvolgers,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handelt conform de geldende privacy- en gegevensbeschermingswetgeving, waaronder de AVG en aanverwante regelingen. Er wordt gewerkt met passende technische en organisatorische maatregelen voor databeveiliging.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6 – Privacy- en securitybeleid (samenvatting)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Informatiebeveiliging adequaat ingericht (bijv. op niveau ISO 27001-principes)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hanteert een formeel informatiebeveiligingsbeleid en past maatregelen toe conform gangbare normen voor Managed IT Services (zoals classificatie, toegangsbeheer, logging, back-ups en incidentmanagement).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6 – Informatiebeveiligingsbeleid / ISMS-overzicht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Continuïteit dienstverlening (backup, failover, disaster recovery) geborgd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heeft interne procedures voor business continuity en disaster recovery; voor Managed IT Services worden hersteldoelen gedefinieerd (RTO/RPO) en periodiek getest.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7 – Continuïteits- en DR-plan (overzicht)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Bereidheid tot naleving voorgeschreven SLA/KPI-structuur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kan de gebruikelijke KPI’s voor Managed IT Services realiseren (bijv. beschikbaarheidssystemen, responstijden, oplostijden incidenten, klanttevredenheid) en rapporteert periodiek aan de opdrachtgever.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8 – definitief SLA en KPI-overzicht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Bescherming vertrouwelijke informatie van aanbestedende dienst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 zijn interne regels en procedures voor geheimhouding en beperking van toegang tot klantgegevens. Medewerkers tekenen geheimhoudingsverklaringen; vertrouwelijkheid wordt contractueel vastgelegd.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9 – Model geheimhoudingsverklaring / extract uit arbeidsvoorwaarden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Voldoen aan arbeidsrechtelijke en sociale voorwaarden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voldoet aan alle toepasselijke arbeidsvoorwaardenwetgeving, inclusief loonbetalingen, arbeidstijden en veilige werkomstandigheden.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10 – Verklaring naleving arbeidswetgeving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verboden belangenverstrengeling met medewerkers aanbestedende dienst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 zijn geen (familie- of zakelijk) relaties die belangenverstrengeling zouden kunnen opleveren. Indien onverhoopt toch sprake zou zijn, wordt dit gemeld conform de aanbestedingsregels.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UEA (verklaring belangenconflict)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Gebruik van legale en rechtmatig gelicenseerde software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maakt uitsluitend gebruik van rechtmatig verkregen en gelicenseerde software in het kader van Managed IT Services. Licentiebeheer is vastgelegd in interne procedures.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11 – Verklaring legaal softwaregebruik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Bereidheid tot samenwerking binnen raamovereenkomst (meerdere afnemers)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kan diensten leveren aan meerdere deelnemende organisaties binnen één raamovereenkomst en heeft ervaring met multi-tenant dienstverlening.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12 – Toelichting multi-tenant dienstverlening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Acceptatie van voorgeschreven rapportage- en overlegstructuur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 wordt aangesloten bij de door de opdrachtgever gewenste governance, inclusief periodieke stuurgroep- en operationele overlegmomenten en standaard rapportageformats.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13 – Voorbeeld rapportagestructuur / governance-overzicht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Voldoen aan eisen inzake duurzaamheid/MVO (indien gesteld)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integreert duurzaamheidsaspecten in hardwarekeuze, energieverbruik (bij hosting/ cloud) en lifecycle management, en voldoet daarmee aan gangbare MVO-eisen in ICT-raamovereenkomsten.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14 – MVO- en duurzaamheidsbeleid (samenvatting)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Geen strijd met sanctiewetgeving en integriteitsregels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en eventuele onderaannemers houden zich aan nationale en internationale sanctieregimes en integriteitsregels; er zijn geen sancties van toepassing op de organisatie.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 – UEA; interne integriteitsverklaring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Beschikbaarheid van adequate servicedesk (tijdens overeengekomen uren)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kan een servicedesk aanbieden met openingstijden en responstijden passend bij de vraag van de aanbestedende dienst, inclusief incident- en wijzigingsafhandeling.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15 – Servicedesk- en supportbeschrijving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Bereidheid tot naleving van beveiligingsvoorschriften van opdrachtgever (bijv. pen-tests, audits)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werkt mee aan audits, penetratietesten en andere controles door of namens de opdrachtgever, voor zover in de raamovereenkomst omschreven.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6 – Informatiebeveiligingsbeleid; Bijlage 16 – Audit- en complianceprocedure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Gebruik van datacenters binnen overeengekomen jurisdictie (bijv. EU/EER)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 indien vereist door de opdrachtgever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Data-opslag en -verwerking voor Managed IT Services kunnen worden ingericht binnen de EU/EER, conform AVG en aanbestedingsvoorwaarden. Dit wordt contractueel vastgelegd.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17 – Datacenter- en hostingoverzicht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Transparante prijsopbouw en nacalculatie volgens leidraad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kan de voorgeschreven prijsformulieren volledig en inzichtelijk invullen, inclusief alle verplichte posten en een duidelijke kostendetailering.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18 – Prijsbijlage / prijsblad (indien onderdeel gunning)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Bereidheid tot naleving van exit- en transitievoorwaarden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KO/REQ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Ease B.V. werkt mee aan een ordelijke transitie in- en uitstroom (exit) bij aanvang en einde van de raamovereenkomst, inclusief overdracht documentatie en kennis.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Bijlage 19 – Transitie- en exitplan (overzicht)</w:t>
            </w:r>
          </w:p>
        </w:tc>
      </w:tr>
    </w:tbl>
    <w:p>
      <w:pPr>
        <w:spacing w:lineRule="auto"/>
      </w:pPr>
      <w:r>
        <w:rPr/>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Matrix (UEA / KO / REQ)</dc:title>
  <dc:subject/>
  <dc:creator>html-to-docx</dc:creator>
  <cp:keywords>html-to-docx</cp:keywords>
  <dc:description/>
  <cp:lastModifiedBy>html-to-docx</cp:lastModifiedBy>
  <cp:revision>1</cp:revision>
  <dcterms:created xsi:type="dcterms:W3CDTF">2025-12-24T16:16:07.624Z</dcterms:created>
  <dcterms:modified xsi:type="dcterms:W3CDTF">2025-12-24T16:16:07.624Z</dcterms:modified>
</cp:coreProperties>
</file>