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Planning (ASCII Gantt + Toelichting)</w:t>
      </w:r>
    </w:p>
    <w:p>
      <w:pPr>
        <w:pStyle w:val="Heading2"/>
        <w:spacing w:lineRule="auto"/>
      </w:pPr>
      <w:r>
        <w:rPr/>
        <w:t xml:space="preserve">Digital Ease B.V. — Raamovereenkomst Managed IT Services 2026–2030</w:t>
      </w:r>
    </w:p>
    <w:p>
      <w:pPr>
        <w:spacing w:lineRule="auto"/>
      </w:pPr>
      <w:r>
        <w:rPr/>
        <w:t xml:space="preserve">     24 december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Planning</w:t>
      </w:r>
    </w:p>
    <w:p>
      <w:pPr>
        <w:spacing w:lineRule="auto"/>
      </w:pPr>
      <w:r>
        <w:rPr/>
        <w:t xml:space="preserve">Onderstaande planning is opgezet voor een vierjarige raamovereenkomst “Managed IT Services 2026–2030” met een gefaseerde voorbereiding, transitie, stabilisatie en doorontwikkeling. De planning is realistisch, stuurbaar en sluit aan bij gebruikelijke doorlooptijden voor middelgrote tot grote overheidsorganisaties.</w:t>
      </w:r>
    </w:p>
    <w:p>
      <w:pPr>
        <w:spacing w:lineRule="auto"/>
      </w:pPr>
      <w:r>
        <w:rPr/>
        <w:t xml:space="preserve">ASCII-Gantt (indicatieve planning)</w:t>
      </w:r>
    </w:p>
    <w:p>
      <w:pPr>
        <w:spacing w:lineRule="auto"/>
      </w:pPr>
      <w:r>
        <w:rPr/>
        <w:t xml:space="preserve">Legenda: Fasen  = ███ Gate-reviews = [G#] Mijlpalen = ▲</w:t>
      </w:r>
    </w:p>
    <w:p>
      <w:pPr>
        <w:spacing w:lineRule="auto"/>
      </w:pPr>
      <w:r>
        <w:rPr/>
        <w:t xml:space="preserve">Tijdslijn (maanden, jaar 0 = jaar vóór start contract, jaar 1–4 = contractjaren) M0–M3 = voorbereiding, M4–M6 = transitie, M7–M12 = stabilisatie jaar 1, Y2 = jaar 2, Y3 = jaar 3, Y4 = jaar 4.</w:t>
      </w:r>
    </w:p>
    <w:p>
      <w:pPr>
        <w:spacing w:lineRule="auto"/>
      </w:pPr>
      <w:r>
        <w:rPr>
          <w:rFonts w:ascii="Courier" w:hAnsi="Courier"/>
        </w:rPr>
        <w:t xml:space="preserve">       M0  M1  M2  M3  M4  M5  M6  M7  M8  M9  M10 M11 M12  Y2              Y3              Y4 </w:t>
      </w:r>
    </w:p>
    <w:p>
      <w:pPr>
        <w:numPr>
          <w:ilvl w:val="0"/>
          <w:numId w:val="1"/>
        </w:numPr>
        <w:spacing w:lineRule="auto"/>
      </w:pPr>
      <w:r>
        <w:rPr/>
        <w:t xml:space="preserve">Initiatie &amp; Inwinning Detailinformatie     ███ ███ ███     ▲Kick-off     [G1]</w:t>
      </w:r>
    </w:p>
    <w:p>
      <w:pPr>
        <w:numPr>
          <w:ilvl w:val="0"/>
          <w:numId w:val="1"/>
        </w:numPr>
        <w:spacing w:lineRule="auto"/>
      </w:pPr>
      <w:r>
        <w:rPr/>
        <w:t xml:space="preserve">Ontwerp &amp; Detailplanning         ███ ███             [G2]             ▲Go/no-go Transitie</w:t>
      </w:r>
    </w:p>
    <w:p>
      <w:pPr>
        <w:numPr>
          <w:ilvl w:val="0"/>
          <w:numId w:val="1"/>
        </w:numPr>
        <w:spacing w:lineRule="auto"/>
      </w:pPr>
      <w:r>
        <w:rPr/>
        <w:t xml:space="preserve">Transitie &amp; Migratie (Technisch &amp; Functioneel)                 ███ ███ ███                     ▲Eerste succesvolle pilot-migratie                         [G3]                             ▲Productie-omschakeling kernservices</w:t>
      </w:r>
    </w:p>
    <w:p>
      <w:pPr>
        <w:numPr>
          <w:ilvl w:val="0"/>
          <w:numId w:val="1"/>
        </w:numPr>
        <w:spacing w:lineRule="auto"/>
      </w:pPr>
      <w:r>
        <w:rPr/>
        <w:t xml:space="preserve">Stabilisatie &amp; Optimalisatie Jaar 1                             ███ ███ ███ ███ ███ ███                                 ▲Acceptatie definitieve beheerprocessen                                     [G4]</w:t>
      </w:r>
    </w:p>
    <w:p>
      <w:pPr>
        <w:numPr>
          <w:ilvl w:val="0"/>
          <w:numId w:val="1"/>
        </w:numPr>
        <w:spacing w:lineRule="auto"/>
      </w:pPr>
      <w:r>
        <w:rPr/>
        <w:t xml:space="preserve">Doorontwikkeling &amp; Innovatie Jaar 2                                                 ███ ███ ███ ███ ███ ███ ███ ███ ███ ███ ███ ███                                                     ▲Roadmap 2.0 vastgesteld                                                         [G5]</w:t>
      </w:r>
    </w:p>
    <w:p>
      <w:pPr>
        <w:numPr>
          <w:ilvl w:val="0"/>
          <w:numId w:val="1"/>
        </w:numPr>
        <w:spacing w:lineRule="auto"/>
      </w:pPr>
      <w:r>
        <w:rPr/>
        <w:t xml:space="preserve">Doorontwikkeling &amp; Innovatie Jaar 3                                                                                ███ ███ ███ ███ ███ ███ ███ ███ ███ ███ ███ ███                                                                                    ▲Halverwege-evaluatie raamovereenkomst                                                                                        [G6]</w:t>
      </w:r>
    </w:p>
    <w:p>
      <w:pPr>
        <w:numPr>
          <w:ilvl w:val="0"/>
          <w:numId w:val="1"/>
        </w:numPr>
        <w:spacing w:lineRule="auto"/>
      </w:pPr>
      <w:r>
        <w:rPr/>
        <w:t xml:space="preserve">Exit-/Verlengingsvoorbereiding Jaar 4                                                                                                       ███ ███ ███ ███ ███ ███ ███ ███ ███ ███ ███ ███                                                                                                           ▲definitief-exitdossier en overdrachtsplan gereed                                                                                                               [G7]                                                                                                                   ▲Definitieve eindevaluatie / verlengingsbesluit</w:t>
      </w:r>
    </w:p>
    <w:p>
      <w:pPr>
        <w:spacing w:lineRule="auto"/>
      </w:pPr>
      <w:r>
        <w:rPr/>
        <w:t xml:space="preserve">Toelichting per fase, gate-review en mijlpaal</w:t>
      </w:r>
    </w:p>
    <w:p>
      <w:pPr>
        <w:numPr>
          <w:ilvl w:val="0"/>
          <w:numId w:val="2"/>
        </w:numPr>
        <w:spacing w:lineRule="auto"/>
      </w:pPr>
      <w:r>
        <w:rPr/>
        <w:t xml:space="preserve">Initiatie &amp; Inwinning Detailinformatie (M0–M2) Doel: gezamenlijk vaststellen van scope, doelen, kaders en randvoorwaarden, inclusief governance, security-eisen en continuïteitsafspraken.</w:t>
      </w:r>
    </w:p>
    <w:p>
      <w:pPr>
        <w:spacing w:lineRule="auto"/>
      </w:pPr>
      <w:r>
        <w:rPr/>
        <w:t xml:space="preserve">Concrete activiteiten: – Kick-off met opdrachtgever en sleutelfiguren (▲Kick-off). – Inventarisatie van huidige IT-diensten, contracten, SLA’s, werkprocessen en risico’s. – Uitwerking communicatieplan en overlegstructuur. – Opzetten van een gezamenlijke risicolog en actie-/besluitenlijst.</w:t>
      </w:r>
    </w:p>
    <w:p>
      <w:pPr>
        <w:spacing w:lineRule="auto"/>
      </w:pPr>
      <w:r>
        <w:rPr/>
        <w:t xml:space="preserve">Gate-review G1 – Bevestiging uitgangspunten: Tijdens G1 wordt vastgesteld dat: – Scope, doelstellingen en prioriteiten van de Managed IT Services zijn afgestemd. – Randvoorwaarden (bijv. migratievensters, beveiligingsbeleid) zijn expliciet vastgelegd. – De opdrachtgever instemt met de voorgestelde aanpak en globale transitieplanning.</w:t>
      </w:r>
    </w:p>
    <w:p>
      <w:pPr>
        <w:spacing w:lineRule="auto"/>
      </w:pPr>
      <w:r>
        <w:rPr/>
        <w:t xml:space="preserve">G1-resultaat: akkoord op uitgangspunten en toestemming om detailontwerp en detailplanning uit te werken.</w:t>
      </w:r>
    </w:p>
    <w:p>
      <w:pPr>
        <w:numPr>
          <w:ilvl w:val="0"/>
          <w:numId w:val="3"/>
        </w:numPr>
        <w:spacing w:lineRule="auto"/>
      </w:pPr>
      <w:r>
        <w:rPr/>
        <w:t xml:space="preserve">Ontwerp &amp; Detailplanning (M1–M3) Doel: tot een compleet, gevalideerd ontwerp en een gedetailleerde migratie- en transitieplanning komen.</w:t>
      </w:r>
    </w:p>
    <w:p>
      <w:pPr>
        <w:spacing w:lineRule="auto"/>
      </w:pPr>
      <w:r>
        <w:rPr/>
        <w:t xml:space="preserve">Concrete activiteiten: – Uitwerken van het technisch en functioneel dienstverleningsontwerp (inclusief monitoring, support, beveiliging, back-up &amp; recovery). – Vaststellen van SLA/KPI-set en rapportagekalender. – Plannen van migratiestappen per dienst, per locatie en per gebruikersgroep. – Teststrategie en acceptatiecriteria vastleggen (technisch, functioneel en gebruikersacceptatie).</w:t>
      </w:r>
    </w:p>
    <w:p>
      <w:pPr>
        <w:spacing w:lineRule="auto"/>
      </w:pPr>
      <w:r>
        <w:rPr/>
        <w:t xml:space="preserve">Mijlpaal – Transitieplan &amp; Dienstverleningsontwerp gereed: – Transitieplan is gereed, inclusief omgevingsoverzicht, stappenplan, afhankelijkheden en fallback-scenario’s. – Dienstverleningsontwerp is afgestemd op de behoefte van de opdrachtgever en getoetst op haalbaarheid.</w:t>
      </w:r>
    </w:p>
    <w:p>
      <w:pPr>
        <w:spacing w:lineRule="auto"/>
      </w:pPr>
      <w:r>
        <w:rPr/>
        <w:t xml:space="preserve">Gate-review G2 – Go/no-go Transitie: Voorwaarden voor een “go”: – Transitieplan en ontwerp zijn door beide partijen inhoudelijk beoordeeld. – Impact op organisatie, processen en eindgebruikers is in kaart gebracht. – Risico’s zijn voorzien van concrete mitigerende maatregelen.</w:t>
      </w:r>
    </w:p>
    <w:p>
      <w:pPr>
        <w:spacing w:lineRule="auto"/>
      </w:pPr>
      <w:r>
        <w:rPr/>
        <w:t xml:space="preserve">G2-resultaat: formeel besluit om de transitie en migratie te starten.</w:t>
      </w:r>
    </w:p>
    <w:p>
      <w:pPr>
        <w:numPr>
          <w:ilvl w:val="0"/>
          <w:numId w:val="4"/>
        </w:numPr>
        <w:spacing w:lineRule="auto"/>
      </w:pPr>
      <w:r>
        <w:rPr/>
        <w:t xml:space="preserve">Transitie &amp; Migratie (M4–M6) Doel: gecontroleerde en voorspelbare overgang van huidige dienstverlening naar de Managed IT Services van Digital Ease B.V., met minimale verstoring.</w:t>
      </w:r>
    </w:p>
    <w:p>
      <w:pPr>
        <w:spacing w:lineRule="auto"/>
      </w:pPr>
      <w:r>
        <w:rPr/>
        <w:t xml:space="preserve">Concrete activiteiten: – Bouw en inrichting van de beheers- en supportomgeving. – Uitvoeren van pilot-migraties met representatieve gebruikersgroepen en/of niet-kritische diensten. – Gefaseerde uitrol naar kritische diensten en grote gebruikersgroepen. – Inrichten van monitoring, servicedesk en rapportage in de definitieve vorm.</w:t>
      </w:r>
    </w:p>
    <w:p>
      <w:pPr>
        <w:spacing w:lineRule="auto"/>
      </w:pPr>
      <w:r>
        <w:rPr/>
        <w:t xml:space="preserve">Mijlpaal – Eerste succesvolle pilot-migratie: – Ten minste één pilot is volledig doorlopen, geëvalueerd en bijgestuurd. – Technische en functionele performance voldoen aan de overeengekomen acceptatiecriteria.</w:t>
      </w:r>
    </w:p>
    <w:p>
      <w:pPr>
        <w:spacing w:lineRule="auto"/>
      </w:pPr>
      <w:r>
        <w:rPr/>
        <w:t xml:space="preserve">Gate-review G3 – Opschaling naar productie: – Beoordeling van de resultaten van pilots en eventuele restpunten. – Besluit over schaalvergroting naar productie-omschakeling van kernservices.</w:t>
      </w:r>
    </w:p>
    <w:p>
      <w:pPr>
        <w:spacing w:lineRule="auto"/>
      </w:pPr>
      <w:r>
        <w:rPr/>
        <w:t xml:space="preserve">Mijlpaal – Productie-omschakeling kernservices: – De belangrijkste diensten draaien stabiel onder verantwoordelijkheid van Digital Ease B.V. – Afgesproken fallback-mechanismen zijn getest en beschikbaar.</w:t>
      </w:r>
    </w:p>
    <w:p>
      <w:pPr>
        <w:numPr>
          <w:ilvl w:val="0"/>
          <w:numId w:val="5"/>
        </w:numPr>
        <w:spacing w:lineRule="auto"/>
      </w:pPr>
      <w:r>
        <w:rPr/>
        <w:t xml:space="preserve">Stabilisatie &amp; Optimalisatie Jaar 1 (M7–M12) Doel: de nieuwe dienstverlening stabiliseren en optimaliseren op basis van meetbare resultaten en gebruikerservaring.</w:t>
      </w:r>
    </w:p>
    <w:p>
      <w:pPr>
        <w:spacing w:lineRule="auto"/>
      </w:pPr>
      <w:r>
        <w:rPr/>
        <w:t xml:space="preserve">Concrete activiteiten: – Intensieve bewaking van performance, incidenten en wijzigingen. – Maandelijkse service review-meetings met rapportages over SLA’s, KPI’s en verbeterpunten. – Fine-tuning van processen (incident-, probleem-, change- en release-management). – Uitvoeren van gerichte optimalisaties (bijv. performance, gebruiksgemak, selfservice).</w:t>
      </w:r>
    </w:p>
    <w:p>
      <w:pPr>
        <w:spacing w:lineRule="auto"/>
      </w:pPr>
      <w:r>
        <w:rPr/>
        <w:t xml:space="preserve">Mijlpaal – Acceptatie definitieve beheerprocessen: – Alle beheerprocessen zijn gedocumenteerd, afgestemd en in gebruik. – RACI-matrices zijn helder voor alle betrokkenen (wie doet wat en wanneer).</w:t>
      </w:r>
    </w:p>
    <w:p>
      <w:pPr>
        <w:spacing w:lineRule="auto"/>
      </w:pPr>
      <w:r>
        <w:rPr/>
        <w:t xml:space="preserve">Gate-review G4 – Overgang naar reguliere beheerfase: – Vaststelling dat dienstverlening voldoet aan SLA’s. – Overdracht van “projectmodus” naar “business-as-usual” governance en rapportages.</w:t>
      </w:r>
    </w:p>
    <w:p>
      <w:pPr>
        <w:numPr>
          <w:ilvl w:val="0"/>
          <w:numId w:val="6"/>
        </w:numPr>
        <w:spacing w:lineRule="auto"/>
      </w:pPr>
      <w:r>
        <w:rPr/>
        <w:t xml:space="preserve">Doorontwikkeling &amp; Innovatie Jaar 2 (Y2) Doel: doorlopend verbeteren van kwaliteit, veiligheid, gebruikerstevredenheid en kostenefficiëntie.</w:t>
      </w:r>
    </w:p>
    <w:p>
      <w:pPr>
        <w:spacing w:lineRule="auto"/>
      </w:pPr>
      <w:r>
        <w:rPr/>
        <w:t xml:space="preserve">Concrete activiteiten: – Jaarplan doorontwikkeling opstellen met verbeterinitiatieven (bijv. verdere automatisering, securityverbeteringen, modern workspace-ontwikkeling). – Uitvoeren van verbeter- en vernieuwingsreleases in gecontroleerde sprints. – Halfjaarlijkse strategische sessies over toekomstbestendige IT-dienstverlening.</w:t>
      </w:r>
    </w:p>
    <w:p>
      <w:pPr>
        <w:spacing w:lineRule="auto"/>
      </w:pPr>
      <w:r>
        <w:rPr/>
        <w:t xml:space="preserve">Mijlpaal – Roadmap 2.0 vastgesteld: – Integrale roadmap met technische, functionele en organisatorische verbeteringen is afgestemd en geprioriteerd.</w:t>
      </w:r>
    </w:p>
    <w:p>
      <w:pPr>
        <w:spacing w:lineRule="auto"/>
      </w:pPr>
      <w:r>
        <w:rPr/>
        <w:t xml:space="preserve">Gate-review G5 – Evaluatie doorontwikkeling: – Beoordeling van gerealiseerde verbeteringen t.o.v. de afgesproken KPI’s. – Bijstelling van roadmap en prioriteiten voor het volgende jaar.</w:t>
      </w:r>
    </w:p>
    <w:p>
      <w:pPr>
        <w:numPr>
          <w:ilvl w:val="0"/>
          <w:numId w:val="7"/>
        </w:numPr>
        <w:spacing w:lineRule="auto"/>
      </w:pPr>
      <w:r>
        <w:rPr/>
        <w:t xml:space="preserve">Doorontwikkeling &amp; Innovatie Jaar 3 (Y3) Doel: borging van continuïteit en voorbereiding op de volgende fase van de digitale strategie van de opdrachtgever.</w:t>
      </w:r>
    </w:p>
    <w:p>
      <w:pPr>
        <w:spacing w:lineRule="auto"/>
      </w:pPr>
      <w:r>
        <w:rPr/>
        <w:t xml:space="preserve">Concrete activiteiten: – Voortzetten en verder verfijnen van innovatie- en verbeterinitiatieven. – Aansluiten op eventuele nieuwe wet- en regelgeving en beleidswijzigingen. – Verdere professionalisering van governance en risicomanagement.</w:t>
      </w:r>
    </w:p>
    <w:p>
      <w:pPr>
        <w:spacing w:lineRule="auto"/>
      </w:pPr>
      <w:r>
        <w:rPr/>
        <w:t xml:space="preserve">Mijlpaal – Halverwege-evaluatie raamovereenkomst: – Integrale evaluatie over de eerste helft van de contractduur. – Gezamenlijke beoordeling van de bijdrage van de Managed IT Services aan de organisatiedoelen.</w:t>
      </w:r>
    </w:p>
    <w:p>
      <w:pPr>
        <w:spacing w:lineRule="auto"/>
      </w:pPr>
      <w:r>
        <w:rPr/>
        <w:t xml:space="preserve">Gate-review G6 – Strategische bijsturing: – Besluit over eventuele aanpassing van scope, SLA’s en prioriteiten. – Actualiseren van de roadmap en de lange-termijnvisie voor de resterende contractperiode.</w:t>
      </w:r>
    </w:p>
    <w:p>
      <w:pPr>
        <w:numPr>
          <w:ilvl w:val="0"/>
          <w:numId w:val="8"/>
        </w:numPr>
        <w:spacing w:lineRule="auto"/>
      </w:pPr>
      <w:r>
        <w:rPr/>
        <w:t xml:space="preserve">Exit-/Verlengingsvoorbereiding Jaar 4 (Y4) Doel: tijdige, gecontroleerde voorbereiding op verlenging, nieuwe aanbesteding of overdracht aan een andere dienstverlener, zonder verstoring voor eindgebruikers.</w:t>
      </w:r>
    </w:p>
    <w:p>
      <w:pPr>
        <w:spacing w:lineRule="auto"/>
      </w:pPr>
      <w:r>
        <w:rPr/>
        <w:t xml:space="preserve">Concrete activiteiten: – Opstellen en actualiseren van het exitdossier (configuratieoverzicht, documentatie, procedures, contactpersonen). – Scenario’s uitwerken: verlengen, opnieuw aanbesteden of leverancierswissel. – Tijdige communicatie met betrokken stakeholders over de vervolgstappen.</w:t>
      </w:r>
    </w:p>
    <w:p>
      <w:pPr>
        <w:spacing w:lineRule="auto"/>
      </w:pPr>
      <w:r>
        <w:rPr/>
        <w:t xml:space="preserve">Mijlpaal – definitief-exitdossier en overdrachtsplan gereed: – Alle benodigde gegevens voor overdraagbaarheid zijn compleet en actueel. – Overdrachtsplan (technisch, organisatorisch en communicatief) ligt klaar.</w:t>
      </w:r>
    </w:p>
    <w:p>
      <w:pPr>
        <w:spacing w:lineRule="auto"/>
      </w:pPr>
      <w:r>
        <w:rPr/>
        <w:t xml:space="preserve">Gate-review G7 – Exit-/verlengingsbesluitvoorbereiding: – Beoordeling van prestaties over de volledige contractduur. – Advies aan beslissers over voortzetting, wijziging of beëindiging van de samenwerking.</w:t>
      </w:r>
    </w:p>
    <w:p>
      <w:pPr>
        <w:spacing w:lineRule="auto"/>
      </w:pPr>
      <w:r>
        <w:rPr/>
        <w:t xml:space="preserve">Mijlpaal – Definitieve eindevaluatie / verlengingsbesluit: – Formele afsluiting van de raamovereenkomst of transitie naar de volgende contractfase/leverancier. – Documentatie van leerpunten en best practices voor de opdrachtgever.</w:t>
      </w:r>
    </w:p>
    <w:p>
      <w:pPr>
        <w:spacing w:lineRule="auto"/>
      </w:pPr>
      <w:r>
        <w:rPr/>
        <w:t xml:space="preserve">Deze planning biedt de opdrachtgever: – Voldoende beheersing door duidelijke fasering, beslismomenten en mijlpalen. – Transparantie in voortgang en kwaliteit via vaste gate-reviews. – Flexibiliteit om gedurende de looptijd bij te sturen op basis van resultaten, risico’s en veranderende behoeften.</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(ASCII Gantt + Toelichting)</dc:title>
  <dc:subject/>
  <dc:creator>html-to-docx</dc:creator>
  <cp:keywords>html-to-docx</cp:keywords>
  <dc:description/>
  <cp:lastModifiedBy>html-to-docx</cp:lastModifiedBy>
  <cp:revision>1</cp:revision>
  <dcterms:created xsi:type="dcterms:W3CDTF">2025-12-24T16:16:07.624Z</dcterms:created>
  <dcterms:modified xsi:type="dcterms:W3CDTF">2025-12-24T16:16:07.624Z</dcterms:modified>
</cp:coreProperties>
</file>