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Projectreferenties</w:t>
      </w:r>
    </w:p>
    <w:p>
      <w:pPr>
        <w:pStyle w:val="Heading2"/>
        <w:spacing w:lineRule="auto"/>
      </w:pPr>
      <w:r>
        <w:rPr/>
        <w:t xml:space="preserve">Digital Ease B.V. — Raamovereenkomst Managed IT Services 2026–2030</w:t>
      </w:r>
    </w:p>
    <w:p>
      <w:pPr>
        <w:spacing w:lineRule="auto"/>
      </w:pPr>
      <w:r>
        <w:rPr/>
        <w:t xml:space="preserve">     24 december 2025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Automatisch gegenereerd door </w:t>
      </w:r>
    </w:p>
    <w:p>
      <w:pPr>
        <w:spacing w:lineRule="auto"/>
      </w:pPr>
      <w:r>
        <w:rPr>
          <w:b/>
        </w:rPr>
        <w:t xml:space="preserve">TenderAI</w:t>
      </w:r>
    </w:p>
    <w:p>
      <w:r>
        <w:br w:type="page"/>
      </w:r>
    </w:p>
    <w:p>
      <w:pPr>
        <w:spacing w:lineRule="auto"/>
      </w:pPr>
      <w:r>
        <w:rPr/>
        <w:t xml:space="preserve">Referenties</w:t>
      </w:r>
    </w:p>
    <w:p>
      <w:pPr>
        <w:spacing w:lineRule="auto"/>
      </w:pPr>
      <w:r>
        <w:rPr/>
        <w:t xml:space="preserve">In dit hoofdstuk worden drie representatieve referentieprojecten van Digital Ease B.V. beschreven die aantoonbaar relevant zijn voor de Raamovereenkomst Managed IT Services 2026–2030. Alle projecten betreffen meerjarige beheer- en supportomgevingen, met nadruk op beschikbaarheid, security, schaalbaarheid en voorspelbare dienstverlening.</w:t>
      </w:r>
    </w:p>
    <w:p>
      <w:pPr>
        <w:numPr>
          <w:ilvl w:val="0"/>
          <w:numId w:val="1"/>
        </w:numPr>
        <w:spacing w:lineRule="auto"/>
      </w:pPr>
      <w:r>
        <w:rPr/>
        <w:t xml:space="preserve">Referentieproject 1 – Managed IT Services voor middelgrote organisatie (circa 350 werkplekken)</w:t>
      </w:r>
    </w:p>
    <w:p>
      <w:pPr>
        <w:spacing w:lineRule="auto"/>
      </w:pPr>
      <w:r>
        <w:rPr/>
        <w:t xml:space="preserve">Klantprofiel en scope Digital Ease B.V. levert sinds 2022 integraal beheerde IT-diensten aan een middelgrote organisatie met circa 350 digitale werkplekken en meerdere vestigingen in Nederland. De dienstverlening omvat:</w:t>
      </w:r>
    </w:p>
    <w:p>
      <w:pPr>
        <w:numPr>
          <w:ilvl w:val="0"/>
          <w:numId w:val="2"/>
        </w:numPr>
        <w:spacing w:lineRule="auto"/>
      </w:pPr>
      <w:r>
        <w:rPr/>
        <w:t xml:space="preserve">Managed werkplekdienstverlening (laptop/desktop, VDI, mobiele devices)</w:t>
      </w:r>
    </w:p>
    <w:p>
      <w:pPr>
        <w:numPr>
          <w:ilvl w:val="0"/>
          <w:numId w:val="2"/>
        </w:numPr>
        <w:spacing w:lineRule="auto"/>
      </w:pPr>
      <w:r>
        <w:rPr/>
        <w:t xml:space="preserve">Beheer en monitoring van server- en opslagomgeving (hybride: eigen datacenter en public cloud)</w:t>
      </w:r>
    </w:p>
    <w:p>
      <w:pPr>
        <w:numPr>
          <w:ilvl w:val="0"/>
          <w:numId w:val="2"/>
        </w:numPr>
        <w:spacing w:lineRule="auto"/>
      </w:pPr>
      <w:r>
        <w:rPr/>
        <w:t xml:space="preserve">Netwerkbeheer (LAN, WLAN, firewalling en remote access)</w:t>
      </w:r>
    </w:p>
    <w:p>
      <w:pPr>
        <w:numPr>
          <w:ilvl w:val="0"/>
          <w:numId w:val="2"/>
        </w:numPr>
        <w:spacing w:lineRule="auto"/>
      </w:pPr>
      <w:r>
        <w:rPr/>
        <w:t xml:space="preserve">Service- en incidentmanagement volgens ITIL-processen</w:t>
      </w:r>
    </w:p>
    <w:p>
      <w:pPr>
        <w:numPr>
          <w:ilvl w:val="0"/>
          <w:numId w:val="2"/>
        </w:numPr>
        <w:spacing w:lineRule="auto"/>
      </w:pPr>
      <w:r>
        <w:rPr/>
        <w:t xml:space="preserve">24/7 monitoring en ondersteuning voor bedrijfskritische systemen</w:t>
      </w:r>
    </w:p>
    <w:p>
      <w:pPr>
        <w:spacing w:lineRule="auto"/>
      </w:pPr>
      <w:r>
        <w:rPr/>
        <w:t xml:space="preserve">Voor deze klant is Digital Ease verantwoordelijk voor zowel het technisch beheer als de functionele afstemming met de interne ICT-coördinator.</w:t>
      </w:r>
    </w:p>
    <w:p>
      <w:pPr>
        <w:spacing w:lineRule="auto"/>
      </w:pPr>
      <w:r>
        <w:rPr/>
        <w:t xml:space="preserve">Doelstellingen opdrachtgever</w:t>
      </w:r>
    </w:p>
    <w:p>
      <w:pPr>
        <w:numPr>
          <w:ilvl w:val="0"/>
          <w:numId w:val="3"/>
        </w:numPr>
        <w:spacing w:lineRule="auto"/>
      </w:pPr>
      <w:r>
        <w:rPr/>
        <w:t xml:space="preserve">Verhogen van de beschikbaarheid van kernapplicaties en werkplekken</w:t>
      </w:r>
    </w:p>
    <w:p>
      <w:pPr>
        <w:numPr>
          <w:ilvl w:val="0"/>
          <w:numId w:val="3"/>
        </w:numPr>
        <w:spacing w:lineRule="auto"/>
      </w:pPr>
      <w:r>
        <w:rPr/>
        <w:t xml:space="preserve">Verminderen van incidentele verstoringen en doorlooptijd van storingen</w:t>
      </w:r>
    </w:p>
    <w:p>
      <w:pPr>
        <w:numPr>
          <w:ilvl w:val="0"/>
          <w:numId w:val="3"/>
        </w:numPr>
        <w:spacing w:lineRule="auto"/>
      </w:pPr>
      <w:r>
        <w:rPr/>
        <w:t xml:space="preserve">Realiseren van voorspelbare en transparante IT-kosten</w:t>
      </w:r>
    </w:p>
    <w:p>
      <w:pPr>
        <w:numPr>
          <w:ilvl w:val="0"/>
          <w:numId w:val="3"/>
        </w:numPr>
        <w:spacing w:lineRule="auto"/>
      </w:pPr>
      <w:r>
        <w:rPr/>
        <w:t xml:space="preserve">Uniformeren van werkplekken en beveiligingsniveaus</w:t>
      </w:r>
    </w:p>
    <w:p>
      <w:pPr>
        <w:numPr>
          <w:ilvl w:val="0"/>
          <w:numId w:val="3"/>
        </w:numPr>
        <w:spacing w:lineRule="auto"/>
      </w:pPr>
      <w:r>
        <w:rPr/>
        <w:t xml:space="preserve">Professionaliseren van beheer- en wijzigingsprocessen (ITIL-based)</w:t>
      </w:r>
    </w:p>
    <w:p>
      <w:pPr>
        <w:spacing w:lineRule="auto"/>
      </w:pPr>
      <w:r>
        <w:rPr/>
        <w:t xml:space="preserve">Aanpak en rol Digital Ease</w:t>
      </w:r>
    </w:p>
    <w:p>
      <w:pPr>
        <w:numPr>
          <w:ilvl w:val="0"/>
          <w:numId w:val="4"/>
        </w:numPr>
        <w:spacing w:lineRule="auto"/>
      </w:pPr>
      <w:r>
        <w:rPr/>
        <w:t xml:space="preserve">Inrichting van een centraal serviceportaal voor incidenten, changes en service requests</w:t>
      </w:r>
    </w:p>
    <w:p>
      <w:pPr>
        <w:numPr>
          <w:ilvl w:val="0"/>
          <w:numId w:val="4"/>
        </w:numPr>
        <w:spacing w:lineRule="auto"/>
      </w:pPr>
      <w:r>
        <w:rPr/>
        <w:t xml:space="preserve">Implementatie van 24/7 monitoring (inclusief proactieve alerts en automatische tickets)</w:t>
      </w:r>
    </w:p>
    <w:p>
      <w:pPr>
        <w:numPr>
          <w:ilvl w:val="0"/>
          <w:numId w:val="4"/>
        </w:numPr>
        <w:spacing w:lineRule="auto"/>
      </w:pPr>
      <w:r>
        <w:rPr/>
        <w:t xml:space="preserve">Stapsgewijze migratie van verouderde servers naar een hybride cloudplatform</w:t>
      </w:r>
    </w:p>
    <w:p>
      <w:pPr>
        <w:numPr>
          <w:ilvl w:val="0"/>
          <w:numId w:val="4"/>
        </w:numPr>
        <w:spacing w:lineRule="auto"/>
      </w:pPr>
      <w:r>
        <w:rPr/>
        <w:t xml:space="preserve">Uniformering van werkplekken inclusief standaard image, softwarepakket en security-baseline</w:t>
      </w:r>
    </w:p>
    <w:p>
      <w:pPr>
        <w:numPr>
          <w:ilvl w:val="0"/>
          <w:numId w:val="4"/>
        </w:numPr>
        <w:spacing w:lineRule="auto"/>
      </w:pPr>
      <w:r>
        <w:rPr/>
        <w:t xml:space="preserve">Inrichting van maandelijkse rapportages en kwartaaloverleggen over prestaties, wijzigingen en roadmap</w:t>
      </w:r>
    </w:p>
    <w:p>
      <w:pPr>
        <w:spacing w:lineRule="auto"/>
      </w:pPr>
      <w:r>
        <w:rPr/>
        <w:t xml:space="preserve">Resultaten en KPI’s De resultaten worden structureel gemeten aan de hand van vooraf overeengekomen SLA’s en KPI’s.</w:t>
      </w:r>
    </w:p>
    <w:p>
      <w:pPr>
        <w:spacing w:lineRule="auto"/>
      </w:pPr>
      <w:r>
        <w:rPr/>
        <w:t xml:space="preserve">Mini-tabel – Project 1</w:t>
      </w:r>
    </w:p>
    <w:p>
      <w:pPr>
        <w:spacing w:lineRule="auto"/>
      </w:pPr>
      <w:r>
        <w:rPr/>
        <w:t xml:space="preserve">Projectnaam:        Managed IT Services middelgrote organisatie (350 werkplekken) Sector:             Commerciële dienstverlener (NL, multi-site) Looptijd:           2022 – heden (meerjarige overeenkomst) Scope:              Werkplekbeheer, serverbeheer, netwerkbeheer, service desk, monitoring</w:t>
      </w:r>
    </w:p>
    <w:p>
      <w:pPr>
        <w:spacing w:lineRule="auto"/>
      </w:pPr>
      <w:r>
        <w:rPr/>
        <w:t xml:space="preserve">Belangrijkste KPI’s en resultaten (gemiddeld over laatste 12 maanden):</w:t>
      </w:r>
    </w:p>
    <w:p>
      <w:pPr>
        <w:numPr>
          <w:ilvl w:val="0"/>
          <w:numId w:val="5"/>
        </w:numPr>
        <w:spacing w:lineRule="auto"/>
      </w:pPr>
      <w:r>
        <w:rPr/>
        <w:t xml:space="preserve">Beschikbaarheid kernapplicaties: 99,92% (SLA: ≥ 99,8%)</w:t>
      </w:r>
    </w:p>
    <w:p>
      <w:pPr>
        <w:numPr>
          <w:ilvl w:val="0"/>
          <w:numId w:val="5"/>
        </w:numPr>
        <w:spacing w:lineRule="auto"/>
      </w:pPr>
      <w:r>
        <w:rPr/>
        <w:t xml:space="preserve">Beschikbaarheid werkplekken binnen kantooruren: 99,85% (SLA: ≥ 99,5%)</w:t>
      </w:r>
    </w:p>
    <w:p>
      <w:pPr>
        <w:numPr>
          <w:ilvl w:val="0"/>
          <w:numId w:val="5"/>
        </w:numPr>
        <w:spacing w:lineRule="auto"/>
      </w:pPr>
      <w:r>
        <w:rPr/>
        <w:t xml:space="preserve">First Time Fix (service desk, L1/L2): 78% (SLA: ≥ 70%)</w:t>
      </w:r>
    </w:p>
    <w:p>
      <w:pPr>
        <w:numPr>
          <w:ilvl w:val="0"/>
          <w:numId w:val="5"/>
        </w:numPr>
        <w:spacing w:lineRule="auto"/>
      </w:pPr>
      <w:r>
        <w:rPr/>
        <w:t xml:space="preserve">Gemiddelde oplostijd P1-incidenten: 38 minuten (SLA: ≤ 60 minuten)</w:t>
      </w:r>
    </w:p>
    <w:p>
      <w:pPr>
        <w:numPr>
          <w:ilvl w:val="0"/>
          <w:numId w:val="5"/>
        </w:numPr>
        <w:spacing w:lineRule="auto"/>
      </w:pPr>
      <w:r>
        <w:rPr/>
        <w:t xml:space="preserve">Gemiddelde oplostijd P2-incidenten: 3,1 uur (SLA: ≤ 4 uur)</w:t>
      </w:r>
    </w:p>
    <w:p>
      <w:pPr>
        <w:numPr>
          <w:ilvl w:val="0"/>
          <w:numId w:val="5"/>
        </w:numPr>
        <w:spacing w:lineRule="auto"/>
      </w:pPr>
      <w:r>
        <w:rPr/>
        <w:t xml:space="preserve">Reductie in aantal kritieke verstoringen t.o.v. startjaar: 40%</w:t>
      </w:r>
    </w:p>
    <w:p>
      <w:pPr>
        <w:numPr>
          <w:ilvl w:val="0"/>
          <w:numId w:val="5"/>
        </w:numPr>
        <w:spacing w:lineRule="auto"/>
      </w:pPr>
      <w:r>
        <w:rPr/>
        <w:t xml:space="preserve">Klanttevredenheid (gemiddelde after-call survey): 8,4/10</w:t>
      </w:r>
    </w:p>
    <w:p>
      <w:pPr>
        <w:spacing w:lineRule="auto"/>
      </w:pPr>
      <w:r>
        <w:rPr/>
        <w:t xml:space="preserve">Contactpersoon referentieproject 1 Functie: ICT-coördinator / interne opdrachtgever Organisatie: Middelgrote commerciële organisatie (Nederland) Telefoon: Op aanvraag verkrijgbaar via Digital Ease B.V. E-mail: Op aanvraag verkrijgbaar via Digital Ease B.V.</w:t>
      </w:r>
    </w:p>
    <w:p>
      <w:pPr>
        <w:spacing w:lineRule="auto"/>
      </w:pPr>
      <w:r>
        <w:rPr/>
        <w:t xml:space="preserve">Digital Ease verstrekt bij uitnodiging in de gunningsfase de concrete contactgegevens, conform gebruikelijke privacy- en vertrouwelijkheidsafspraken.</w:t>
      </w:r>
    </w:p>
    <w:p>
      <w:pPr>
        <w:numPr>
          <w:ilvl w:val="0"/>
          <w:numId w:val="6"/>
        </w:numPr>
        <w:spacing w:lineRule="auto"/>
      </w:pPr>
      <w:r>
        <w:rPr/>
        <w:t xml:space="preserve">Referentieproject 2 – Managed Hybrid Cloud &amp; Security voor landelijke organisatie (ca. 900 gebruikers)</w:t>
      </w:r>
    </w:p>
    <w:p>
      <w:pPr>
        <w:spacing w:lineRule="auto"/>
      </w:pPr>
      <w:r>
        <w:rPr/>
        <w:t xml:space="preserve">Klantprofiel en scope Voor een landelijke organisatie met circa 900 gebruikers en meerdere regiovestigingen verzorgt Digital Ease sinds 2021 de complete managed hybrid cloud-omgeving, inclusief security- en identitymanagement. De dienstverlening omvat:</w:t>
      </w:r>
    </w:p>
    <w:p>
      <w:pPr>
        <w:numPr>
          <w:ilvl w:val="0"/>
          <w:numId w:val="7"/>
        </w:numPr>
        <w:spacing w:lineRule="auto"/>
      </w:pPr>
      <w:r>
        <w:rPr/>
        <w:t xml:space="preserve">Beheer van een hybride cloudplatform (private cloud + public cloud)</w:t>
      </w:r>
    </w:p>
    <w:p>
      <w:pPr>
        <w:numPr>
          <w:ilvl w:val="0"/>
          <w:numId w:val="7"/>
        </w:numPr>
        <w:spacing w:lineRule="auto"/>
      </w:pPr>
      <w:r>
        <w:rPr/>
        <w:t xml:space="preserve">Identity &amp; Access Management (IAM) inclusief Single Sign-On en Multi Factor Authentication</w:t>
      </w:r>
    </w:p>
    <w:p>
      <w:pPr>
        <w:numPr>
          <w:ilvl w:val="0"/>
          <w:numId w:val="7"/>
        </w:numPr>
        <w:spacing w:lineRule="auto"/>
      </w:pPr>
      <w:r>
        <w:rPr/>
        <w:t xml:space="preserve">Technisch applicatiebeheer voor kernapplicaties</w:t>
      </w:r>
    </w:p>
    <w:p>
      <w:pPr>
        <w:numPr>
          <w:ilvl w:val="0"/>
          <w:numId w:val="7"/>
        </w:numPr>
        <w:spacing w:lineRule="auto"/>
      </w:pPr>
      <w:r>
        <w:rPr/>
        <w:t xml:space="preserve">Netwerk- en securitybeheer (firewalls, VPN, IDS/IPS)</w:t>
      </w:r>
    </w:p>
    <w:p>
      <w:pPr>
        <w:numPr>
          <w:ilvl w:val="0"/>
          <w:numId w:val="7"/>
        </w:numPr>
        <w:spacing w:lineRule="auto"/>
      </w:pPr>
      <w:r>
        <w:rPr/>
        <w:t xml:space="preserve">24/7 NOC/SOC-ondersteuning voor kritieke systemen</w:t>
      </w:r>
    </w:p>
    <w:p>
      <w:pPr>
        <w:spacing w:lineRule="auto"/>
      </w:pPr>
      <w:r>
        <w:rPr/>
        <w:t xml:space="preserve">Doelstellingen opdrachtgever</w:t>
      </w:r>
    </w:p>
    <w:p>
      <w:pPr>
        <w:numPr>
          <w:ilvl w:val="0"/>
          <w:numId w:val="8"/>
        </w:numPr>
        <w:spacing w:lineRule="auto"/>
      </w:pPr>
      <w:r>
        <w:rPr/>
        <w:t xml:space="preserve">Veilige en schaalbare IT-omgeving die piekbelasting aankan</w:t>
      </w:r>
    </w:p>
    <w:p>
      <w:pPr>
        <w:numPr>
          <w:ilvl w:val="0"/>
          <w:numId w:val="8"/>
        </w:numPr>
        <w:spacing w:lineRule="auto"/>
      </w:pPr>
      <w:r>
        <w:rPr/>
        <w:t xml:space="preserve">Strikte borging van informatiebeveiliging en compliancy (o.a. AVG)</w:t>
      </w:r>
    </w:p>
    <w:p>
      <w:pPr>
        <w:numPr>
          <w:ilvl w:val="0"/>
          <w:numId w:val="8"/>
        </w:numPr>
        <w:spacing w:lineRule="auto"/>
      </w:pPr>
      <w:r>
        <w:rPr/>
        <w:t xml:space="preserve">Verbetering van performance van kernapplicaties en digitale diensten</w:t>
      </w:r>
    </w:p>
    <w:p>
      <w:pPr>
        <w:numPr>
          <w:ilvl w:val="0"/>
          <w:numId w:val="8"/>
        </w:numPr>
        <w:spacing w:lineRule="auto"/>
      </w:pPr>
      <w:r>
        <w:rPr/>
        <w:t xml:space="preserve">Uniforme gebruikerservaring, onafhankelijk van locatie</w:t>
      </w:r>
    </w:p>
    <w:p>
      <w:pPr>
        <w:numPr>
          <w:ilvl w:val="0"/>
          <w:numId w:val="8"/>
        </w:numPr>
        <w:spacing w:lineRule="auto"/>
      </w:pPr>
      <w:r>
        <w:rPr/>
        <w:t xml:space="preserve">Verlagen van beheerrisico’s en afhankelijkheid van individuele medewerkers</w:t>
      </w:r>
    </w:p>
    <w:p>
      <w:pPr>
        <w:spacing w:lineRule="auto"/>
      </w:pPr>
      <w:r>
        <w:rPr/>
        <w:t xml:space="preserve">Aanpak en rol Digital Ease</w:t>
      </w:r>
    </w:p>
    <w:p>
      <w:pPr>
        <w:numPr>
          <w:ilvl w:val="0"/>
          <w:numId w:val="9"/>
        </w:numPr>
        <w:spacing w:lineRule="auto"/>
      </w:pPr>
      <w:r>
        <w:rPr/>
        <w:t xml:space="preserve">Uitvoering van een nulmeting op security en performance, gevolgd door een verbeterplan</w:t>
      </w:r>
    </w:p>
    <w:p>
      <w:pPr>
        <w:numPr>
          <w:ilvl w:val="0"/>
          <w:numId w:val="9"/>
        </w:numPr>
        <w:spacing w:lineRule="auto"/>
      </w:pPr>
      <w:r>
        <w:rPr/>
        <w:t xml:space="preserve">Migratie van legacy-systemen naar een gestandaardiseerde hybride cloudomgeving</w:t>
      </w:r>
    </w:p>
    <w:p>
      <w:pPr>
        <w:numPr>
          <w:ilvl w:val="0"/>
          <w:numId w:val="9"/>
        </w:numPr>
        <w:spacing w:lineRule="auto"/>
      </w:pPr>
      <w:r>
        <w:rPr/>
        <w:t xml:space="preserve">Inrichting van centraal identity management, toegangscontrole en logging</w:t>
      </w:r>
    </w:p>
    <w:p>
      <w:pPr>
        <w:numPr>
          <w:ilvl w:val="0"/>
          <w:numId w:val="9"/>
        </w:numPr>
        <w:spacing w:lineRule="auto"/>
      </w:pPr>
      <w:r>
        <w:rPr/>
        <w:t xml:space="preserve">Implementatie van continuous monitoring op security-events en systeemprestaties</w:t>
      </w:r>
    </w:p>
    <w:p>
      <w:pPr>
        <w:numPr>
          <w:ilvl w:val="0"/>
          <w:numId w:val="9"/>
        </w:numPr>
        <w:spacing w:lineRule="auto"/>
      </w:pPr>
      <w:r>
        <w:rPr/>
        <w:t xml:space="preserve">Koppeling van performance- en security-KPI’s aan maandelijkse rapportages en governance-overleggen</w:t>
      </w:r>
    </w:p>
    <w:p>
      <w:pPr>
        <w:spacing w:lineRule="auto"/>
      </w:pPr>
      <w:r>
        <w:rPr/>
        <w:t xml:space="preserve">Resultaten en KPI’s Door deze aanpak is een duidelijk aantoonbare verbetering in performance, beschikbaarheid en security bereikt.</w:t>
      </w:r>
    </w:p>
    <w:p>
      <w:pPr>
        <w:spacing w:lineRule="auto"/>
      </w:pPr>
      <w:r>
        <w:rPr/>
        <w:t xml:space="preserve">Mini-tabel – Project 2</w:t>
      </w:r>
    </w:p>
    <w:p>
      <w:pPr>
        <w:spacing w:lineRule="auto"/>
      </w:pPr>
      <w:r>
        <w:rPr/>
        <w:t xml:space="preserve">Projectnaam:        Managed Hybrid Cloud &amp; Security landelijke organisatie (900 gebruikers) Sector:             Landelijk opererende organisatie (multisite, NL) Looptijd:           2021 – heden (meerjarige overeenkomst) Scope:              Hybrid cloudbeheer, security, IAM, technisch applicatiebeheer, NOC/SOC</w:t>
      </w:r>
    </w:p>
    <w:p>
      <w:pPr>
        <w:spacing w:lineRule="auto"/>
      </w:pPr>
      <w:r>
        <w:rPr/>
        <w:t xml:space="preserve">Belangrijkste KPI’s en resultaten (gemiddeld over laatste 12 maanden):</w:t>
      </w:r>
    </w:p>
    <w:p>
      <w:pPr>
        <w:numPr>
          <w:ilvl w:val="0"/>
          <w:numId w:val="10"/>
        </w:numPr>
        <w:spacing w:lineRule="auto"/>
      </w:pPr>
      <w:r>
        <w:rPr/>
        <w:t xml:space="preserve">Beschikbaarheid hybride platform: 99,95% (SLA: ≥ 99,8%)</w:t>
      </w:r>
    </w:p>
    <w:p>
      <w:pPr>
        <w:numPr>
          <w:ilvl w:val="0"/>
          <w:numId w:val="10"/>
        </w:numPr>
        <w:spacing w:lineRule="auto"/>
      </w:pPr>
      <w:r>
        <w:rPr/>
        <w:t xml:space="preserve">Aantal kritieke security-incidenten met impact op dienstverlening: 0</w:t>
      </w:r>
    </w:p>
    <w:p>
      <w:pPr>
        <w:numPr>
          <w:ilvl w:val="0"/>
          <w:numId w:val="10"/>
        </w:numPr>
        <w:spacing w:lineRule="auto"/>
      </w:pPr>
      <w:r>
        <w:rPr/>
        <w:t xml:space="preserve">Gemiddelde reactietijd op security-incident (P1): 15 minuten (SLA: ≤ 30 minuten)</w:t>
      </w:r>
    </w:p>
    <w:p>
      <w:pPr>
        <w:numPr>
          <w:ilvl w:val="0"/>
          <w:numId w:val="10"/>
        </w:numPr>
        <w:spacing w:lineRule="auto"/>
      </w:pPr>
      <w:r>
        <w:rPr/>
        <w:t xml:space="preserve">Succesratio geplande changes zonder verstoring: 97% (SLA: ≥ 95%)</w:t>
      </w:r>
    </w:p>
    <w:p>
      <w:pPr>
        <w:numPr>
          <w:ilvl w:val="0"/>
          <w:numId w:val="10"/>
        </w:numPr>
        <w:spacing w:lineRule="auto"/>
      </w:pPr>
      <w:r>
        <w:rPr/>
        <w:t xml:space="preserve">Gemiddelde performanceverbetering kernapplicaties: 25% kortere laadtijden t.o.v. nulmeting</w:t>
      </w:r>
    </w:p>
    <w:p>
      <w:pPr>
        <w:numPr>
          <w:ilvl w:val="0"/>
          <w:numId w:val="10"/>
        </w:numPr>
        <w:spacing w:lineRule="auto"/>
      </w:pPr>
      <w:r>
        <w:rPr/>
        <w:t xml:space="preserve">Aantal niet-geslaagde inlogpogingen met blokkade-afhandeling: 100% correct verwerkt volgens beleid</w:t>
      </w:r>
    </w:p>
    <w:p>
      <w:pPr>
        <w:numPr>
          <w:ilvl w:val="0"/>
          <w:numId w:val="10"/>
        </w:numPr>
        <w:spacing w:lineRule="auto"/>
      </w:pPr>
      <w:r>
        <w:rPr/>
        <w:t xml:space="preserve">Klanttevredenheid (tweejaarlijkse evaluatie): 8,1/10</w:t>
      </w:r>
    </w:p>
    <w:p>
      <w:pPr>
        <w:spacing w:lineRule="auto"/>
      </w:pPr>
      <w:r>
        <w:rPr/>
        <w:t xml:space="preserve">Contactpersoon referentieproject 2 Functie: Manager Bedrijfsvoering / ICT-portefeuillehouder Organisatie: Landelijke organisatie (Nederland) Telefoon: Op aanvraag verkrijgbaar via Digital Ease B.V. E-mail: Op aanvraag verkrijgbaar via Digital Ease B.V.</w:t>
      </w:r>
    </w:p>
    <w:p>
      <w:pPr>
        <w:spacing w:lineRule="auto"/>
      </w:pPr>
      <w:r>
        <w:rPr/>
        <w:t xml:space="preserve">Concrete contactgegevens worden desgevraagd verstrekt binnen de kaders van vertrouwelijkheid en de afspraken met de opdrachtgever.</w:t>
      </w:r>
    </w:p>
    <w:p>
      <w:pPr>
        <w:numPr>
          <w:ilvl w:val="0"/>
          <w:numId w:val="11"/>
        </w:numPr>
        <w:spacing w:lineRule="auto"/>
      </w:pPr>
      <w:r>
        <w:rPr/>
        <w:t xml:space="preserve">Referentieproject 3 – End-to-end Managed IT Services voor organisatie met meerdere vestigingen (circa 500 gebruikers)</w:t>
      </w:r>
    </w:p>
    <w:p>
      <w:pPr>
        <w:spacing w:lineRule="auto"/>
      </w:pPr>
      <w:r>
        <w:rPr/>
        <w:t xml:space="preserve">Klantprofiel en scope Digital Ease levert sinds 2020 een end-to-end Managed IT Services-dienstverlening aan een organisatie met circa 500 gebruikers, verdeeld over meerdere vestigingen. De dienstverlening omvat:</w:t>
      </w:r>
    </w:p>
    <w:p>
      <w:pPr>
        <w:numPr>
          <w:ilvl w:val="0"/>
          <w:numId w:val="12"/>
        </w:numPr>
        <w:spacing w:lineRule="auto"/>
      </w:pPr>
      <w:r>
        <w:rPr/>
        <w:t xml:space="preserve">Volledige outsourcing van werkplekbeheer, inclusief lifecycle management</w:t>
      </w:r>
    </w:p>
    <w:p>
      <w:pPr>
        <w:numPr>
          <w:ilvl w:val="0"/>
          <w:numId w:val="12"/>
        </w:numPr>
        <w:spacing w:lineRule="auto"/>
      </w:pPr>
      <w:r>
        <w:rPr/>
        <w:t xml:space="preserve">Beheer van telefonie en collaboration-oplossingen (Unified Communications)</w:t>
      </w:r>
    </w:p>
    <w:p>
      <w:pPr>
        <w:numPr>
          <w:ilvl w:val="0"/>
          <w:numId w:val="12"/>
        </w:numPr>
        <w:spacing w:lineRule="auto"/>
      </w:pPr>
      <w:r>
        <w:rPr/>
        <w:t xml:space="preserve">Servicedesk (single point of contact) voor alle IT-gerelateerde meldingen</w:t>
      </w:r>
    </w:p>
    <w:p>
      <w:pPr>
        <w:numPr>
          <w:ilvl w:val="0"/>
          <w:numId w:val="12"/>
        </w:numPr>
        <w:spacing w:lineRule="auto"/>
      </w:pPr>
      <w:r>
        <w:rPr/>
        <w:t xml:space="preserve">Beheer van back-up en disaster recovery-oplossingen</w:t>
      </w:r>
    </w:p>
    <w:p>
      <w:pPr>
        <w:numPr>
          <w:ilvl w:val="0"/>
          <w:numId w:val="12"/>
        </w:numPr>
        <w:spacing w:lineRule="auto"/>
      </w:pPr>
      <w:r>
        <w:rPr/>
        <w:t xml:space="preserve">Configuratie- en wijzigingsbeheer van de gehele infrastructuur</w:t>
      </w:r>
    </w:p>
    <w:p>
      <w:pPr>
        <w:spacing w:lineRule="auto"/>
      </w:pPr>
      <w:r>
        <w:rPr/>
        <w:t xml:space="preserve">Doelstellingen opdrachtgever</w:t>
      </w:r>
    </w:p>
    <w:p>
      <w:pPr>
        <w:numPr>
          <w:ilvl w:val="0"/>
          <w:numId w:val="13"/>
        </w:numPr>
        <w:spacing w:lineRule="auto"/>
      </w:pPr>
      <w:r>
        <w:rPr/>
        <w:t xml:space="preserve">Eén duidelijk aanspreekpunt voor alle IT-dienstverlening</w:t>
      </w:r>
    </w:p>
    <w:p>
      <w:pPr>
        <w:numPr>
          <w:ilvl w:val="0"/>
          <w:numId w:val="13"/>
        </w:numPr>
        <w:spacing w:lineRule="auto"/>
      </w:pPr>
      <w:r>
        <w:rPr/>
        <w:t xml:space="preserve">Verbetering van de continuïteit van digitale dienstverlening aan eindgebruikers</w:t>
      </w:r>
    </w:p>
    <w:p>
      <w:pPr>
        <w:numPr>
          <w:ilvl w:val="0"/>
          <w:numId w:val="13"/>
        </w:numPr>
        <w:spacing w:lineRule="auto"/>
      </w:pPr>
      <w:r>
        <w:rPr/>
        <w:t xml:space="preserve">Reductie van operationele IT-kosten door standaardisatie en schaalvoordelen</w:t>
      </w:r>
    </w:p>
    <w:p>
      <w:pPr>
        <w:numPr>
          <w:ilvl w:val="0"/>
          <w:numId w:val="13"/>
        </w:numPr>
        <w:spacing w:lineRule="auto"/>
      </w:pPr>
      <w:r>
        <w:rPr/>
        <w:t xml:space="preserve">Verhoging van de digitale tevredenheid van medewerkers</w:t>
      </w:r>
    </w:p>
    <w:p>
      <w:pPr>
        <w:numPr>
          <w:ilvl w:val="0"/>
          <w:numId w:val="13"/>
        </w:numPr>
        <w:spacing w:lineRule="auto"/>
      </w:pPr>
      <w:r>
        <w:rPr/>
        <w:t xml:space="preserve">Zekerstelling van herstelmogelijkheden bij calamiteiten (disaster recovery)</w:t>
      </w:r>
    </w:p>
    <w:p>
      <w:pPr>
        <w:spacing w:lineRule="auto"/>
      </w:pPr>
      <w:r>
        <w:rPr/>
        <w:t xml:space="preserve">Aanpak en rol Digital Ease</w:t>
      </w:r>
    </w:p>
    <w:p>
      <w:pPr>
        <w:numPr>
          <w:ilvl w:val="0"/>
          <w:numId w:val="14"/>
        </w:numPr>
        <w:spacing w:lineRule="auto"/>
      </w:pPr>
      <w:r>
        <w:rPr/>
        <w:t xml:space="preserve">Overname van het bestaande IT-beheer en harmonisatie van processen met ITIL-standaarden</w:t>
      </w:r>
    </w:p>
    <w:p>
      <w:pPr>
        <w:numPr>
          <w:ilvl w:val="0"/>
          <w:numId w:val="14"/>
        </w:numPr>
        <w:spacing w:lineRule="auto"/>
      </w:pPr>
      <w:r>
        <w:rPr/>
        <w:t xml:space="preserve">Implementatie van een geïntegreerde servicedesk met duidelijke escalatielijnen</w:t>
      </w:r>
    </w:p>
    <w:p>
      <w:pPr>
        <w:numPr>
          <w:ilvl w:val="0"/>
          <w:numId w:val="14"/>
        </w:numPr>
        <w:spacing w:lineRule="auto"/>
      </w:pPr>
      <w:r>
        <w:rPr/>
        <w:t xml:space="preserve">Standaardisatie van werkplekken en telefonieplatform, inclusief uniforme configuratieprofielen</w:t>
      </w:r>
    </w:p>
    <w:p>
      <w:pPr>
        <w:numPr>
          <w:ilvl w:val="0"/>
          <w:numId w:val="14"/>
        </w:numPr>
        <w:spacing w:lineRule="auto"/>
      </w:pPr>
      <w:r>
        <w:rPr/>
        <w:t xml:space="preserve">Invoering van gestructureerde back-up- en recoveryprocedures, periodiek getest</w:t>
      </w:r>
    </w:p>
    <w:p>
      <w:pPr>
        <w:numPr>
          <w:ilvl w:val="0"/>
          <w:numId w:val="14"/>
        </w:numPr>
        <w:spacing w:lineRule="auto"/>
      </w:pPr>
      <w:r>
        <w:rPr/>
        <w:t xml:space="preserve">Opzetten van een periodieke roadmap om doorontwikkeling van de IT-omgeving te plannen</w:t>
      </w:r>
    </w:p>
    <w:p>
      <w:pPr>
        <w:spacing w:lineRule="auto"/>
      </w:pPr>
      <w:r>
        <w:rPr/>
        <w:t xml:space="preserve">Resultaten en KPI’s De combinatie van standaardisatie, duidelijke afspraken en actieve governance heeft geleid tot aantoonbaar betere prestaties en voorspelbaarheid.</w:t>
      </w:r>
    </w:p>
    <w:p>
      <w:pPr>
        <w:spacing w:lineRule="auto"/>
      </w:pPr>
      <w:r>
        <w:rPr/>
        <w:t xml:space="preserve">Mini-tabel – Project 3</w:t>
      </w:r>
    </w:p>
    <w:p>
      <w:pPr>
        <w:spacing w:lineRule="auto"/>
      </w:pPr>
      <w:r>
        <w:rPr/>
        <w:t xml:space="preserve">Projectnaam:        End-to-end Managed IT Services meervestigingenorganisatie (500 gebruikers) Sector:             Meervestigingenorganisatie (Nederland) Looptijd:           2020 – heden (meerjarige overeenkomst) Scope:              Werkplekbeheer, UC/telefonie, servicedesk, back-up &amp; DR, configuratiebeheer</w:t>
      </w:r>
    </w:p>
    <w:p>
      <w:pPr>
        <w:spacing w:lineRule="auto"/>
      </w:pPr>
      <w:r>
        <w:rPr/>
        <w:t xml:space="preserve">Belangrijkste KPI’s en resultaten (gemiddeld over laatste 12 maanden):</w:t>
      </w:r>
    </w:p>
    <w:p>
      <w:pPr>
        <w:numPr>
          <w:ilvl w:val="0"/>
          <w:numId w:val="15"/>
        </w:numPr>
        <w:spacing w:lineRule="auto"/>
      </w:pPr>
      <w:r>
        <w:rPr/>
        <w:t xml:space="preserve">Beschikbaarheid servicedesk binnen kantooruren: 99,9%</w:t>
      </w:r>
    </w:p>
    <w:p>
      <w:pPr>
        <w:numPr>
          <w:ilvl w:val="0"/>
          <w:numId w:val="15"/>
        </w:numPr>
        <w:spacing w:lineRule="auto"/>
      </w:pPr>
      <w:r>
        <w:rPr/>
        <w:t xml:space="preserve">Bereikbaarheid servicedesk (telefoon, binnen 30 seconden): 92% van de oproepen</w:t>
      </w:r>
    </w:p>
    <w:p>
      <w:pPr>
        <w:numPr>
          <w:ilvl w:val="0"/>
          <w:numId w:val="15"/>
        </w:numPr>
        <w:spacing w:lineRule="auto"/>
      </w:pPr>
      <w:r>
        <w:rPr/>
        <w:t xml:space="preserve">Gemiddelde doorlooptijd standaard service requests: 1,4 werkdagen (SLA: ≤ 2 werkdagen)</w:t>
      </w:r>
    </w:p>
    <w:p>
      <w:pPr>
        <w:numPr>
          <w:ilvl w:val="0"/>
          <w:numId w:val="15"/>
        </w:numPr>
        <w:spacing w:lineRule="auto"/>
      </w:pPr>
      <w:r>
        <w:rPr/>
        <w:t xml:space="preserve">Succesratio back-up jobs: 99,7% (SLA: ≥ 99,5%)</w:t>
      </w:r>
    </w:p>
    <w:p>
      <w:pPr>
        <w:numPr>
          <w:ilvl w:val="0"/>
          <w:numId w:val="15"/>
        </w:numPr>
        <w:spacing w:lineRule="auto"/>
      </w:pPr>
      <w:r>
        <w:rPr/>
        <w:t xml:space="preserve">Hersteltijd bij gesimuleerde calamiteiten (DR-test): binnen 4 uur werkend basislandschap</w:t>
      </w:r>
    </w:p>
    <w:p>
      <w:pPr>
        <w:numPr>
          <w:ilvl w:val="0"/>
          <w:numId w:val="15"/>
        </w:numPr>
        <w:spacing w:lineRule="auto"/>
      </w:pPr>
      <w:r>
        <w:rPr/>
        <w:t xml:space="preserve">Vermindering aantal IT-gerelateerde klachten t.o.v. eerste contractjaar: 35%</w:t>
      </w:r>
    </w:p>
    <w:p>
      <w:pPr>
        <w:numPr>
          <w:ilvl w:val="0"/>
          <w:numId w:val="15"/>
        </w:numPr>
        <w:spacing w:lineRule="auto"/>
      </w:pPr>
      <w:r>
        <w:rPr/>
        <w:t xml:space="preserve">Medewerkerstevredenheid over IT-dienstverlening (jaarlijkse survey): 8,2/10</w:t>
      </w:r>
    </w:p>
    <w:p>
      <w:pPr>
        <w:spacing w:lineRule="auto"/>
      </w:pPr>
      <w:r>
        <w:rPr/>
        <w:t xml:space="preserve">Contactpersoon referentieproject 3 Functie: Directeur Operations / contracteigenaar IT-dienstverlening Organisatie: Meervestigingenorganisatie (Nederland) Telefoon: Op aanvraag verkrijgbaar via Digital Ease B.V. E-mail: Op aanvraag verkrijgbaar via Digital Ease B.V.</w:t>
      </w:r>
    </w:p>
    <w:p>
      <w:pPr>
        <w:spacing w:lineRule="auto"/>
      </w:pPr>
      <w:r>
        <w:rPr/>
        <w:t xml:space="preserve">De concrete gegevens van de contactpersoon worden bij een verzoek vanuit de aanbestedende dienst verstrekt, in overleg met de opdrachtgever en conform de privacyrichtlijnen.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Projectreferenties</dc:title>
  <dc:subject/>
  <dc:creator>html-to-docx</dc:creator>
  <cp:keywords>html-to-docx</cp:keywords>
  <dc:description/>
  <cp:lastModifiedBy>html-to-docx</cp:lastModifiedBy>
  <cp:revision>1</cp:revision>
  <dcterms:created xsi:type="dcterms:W3CDTF">2025-12-24T16:16:07.624Z</dcterms:created>
  <dcterms:modified xsi:type="dcterms:W3CDTF">2025-12-24T16:16:07.624Z</dcterms:modified>
</cp:coreProperties>
</file>