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README — Lees Mij</w:t>
      </w:r>
    </w:p>
    <w:p>
      <w:pPr>
        <w:pStyle w:val="Heading2"/>
        <w:spacing w:lineRule="auto"/>
      </w:pPr>
      <w:r>
        <w:rPr/>
        <w:t xml:space="preserve">Digital Ease B.V. — Raamovereenkomst Managed IT Services 2026–2030</w:t>
      </w:r>
    </w:p>
    <w:p>
      <w:pPr>
        <w:spacing w:lineRule="auto"/>
      </w:pPr>
      <w:r>
        <w:rPr/>
        <w:t xml:space="preserve">     24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README – EMVI-bundel Digital Ease B.V. Raamovereenkomst Managed IT Services 2026–2030</w:t>
      </w:r>
    </w:p>
    <w:p>
      <w:pPr>
        <w:spacing w:lineRule="auto"/>
      </w:pPr>
      <w:r>
        <w:rPr/>
        <w:t xml:space="preserve">Doel van dit document Deze README geeft een korte toelichting op:</w:t>
      </w:r>
    </w:p>
    <w:p>
      <w:pPr>
        <w:numPr>
          <w:ilvl w:val="0"/>
          <w:numId w:val="1"/>
        </w:numPr>
        <w:spacing w:lineRule="auto"/>
      </w:pPr>
      <w:r>
        <w:rPr/>
        <w:t xml:space="preserve">Het doel van de EMVI-bundel.</w:t>
      </w:r>
    </w:p>
    <w:p>
      <w:pPr>
        <w:numPr>
          <w:ilvl w:val="0"/>
          <w:numId w:val="1"/>
        </w:numPr>
        <w:spacing w:lineRule="auto"/>
      </w:pPr>
      <w:r>
        <w:rPr/>
        <w:t xml:space="preserve">De inhoud en opbouw.</w:t>
      </w:r>
    </w:p>
    <w:p>
      <w:pPr>
        <w:numPr>
          <w:ilvl w:val="0"/>
          <w:numId w:val="1"/>
        </w:numPr>
        <w:spacing w:lineRule="auto"/>
      </w:pPr>
      <w:r>
        <w:rPr/>
        <w:t xml:space="preserve">Hoe de documenten gelezen en gebruikt kunnen worden in het aanbestedingsproces.</w:t>
      </w:r>
    </w:p>
    <w:p>
      <w:pPr>
        <w:spacing w:lineRule="auto"/>
      </w:pPr>
      <w:r>
        <w:rPr/>
        <w:t xml:space="preserve">De EMVI-bundel is opgesteld voor:</w:t>
      </w:r>
    </w:p>
    <w:p>
      <w:pPr>
        <w:numPr>
          <w:ilvl w:val="0"/>
          <w:numId w:val="2"/>
        </w:numPr>
        <w:spacing w:lineRule="auto"/>
      </w:pPr>
      <w:r>
        <w:rPr/>
        <w:t xml:space="preserve">Opdracht: Raamovereenkomst Managed IT Services 2026–2030.</w:t>
      </w:r>
    </w:p>
    <w:p>
      <w:pPr>
        <w:numPr>
          <w:ilvl w:val="0"/>
          <w:numId w:val="2"/>
        </w:numPr>
        <w:spacing w:lineRule="auto"/>
      </w:pPr>
      <w:r>
        <w:rPr/>
        <w:t xml:space="preserve">Inschrijver: Digital Ease B.V. (KvK 88392011, btw-nr. NL004589230B12).</w:t>
      </w:r>
    </w:p>
    <w:p>
      <w:pPr>
        <w:spacing w:lineRule="auto"/>
      </w:pPr>
      <w:r>
        <w:rPr/>
        <w:t xml:space="preserve">Inhoud van de meegeleverde set De volgende onderdelen maken samen de volledige inschrijvingstekst mogelijk:</w:t>
      </w:r>
    </w:p>
    <w:p>
      <w:pPr>
        <w:numPr>
          <w:ilvl w:val="0"/>
          <w:numId w:val="3"/>
        </w:numPr>
        <w:spacing w:lineRule="auto"/>
      </w:pPr>
      <w:r>
        <w:rPr/>
        <w:t xml:space="preserve">Dit document: README_lees_mij.md Korte leeswijzer en structurering van de EMVI-bundel.</w:t>
      </w:r>
    </w:p>
    <w:p>
      <w:pPr>
        <w:numPr>
          <w:ilvl w:val="0"/>
          <w:numId w:val="3"/>
        </w:numPr>
        <w:spacing w:lineRule="auto"/>
      </w:pPr>
      <w:r>
        <w:rPr/>
        <w:t xml:space="preserve">EMVI-bundel (hoofddocument) Volledig uitgewerkte tekst volgens de vaste structuur:</w:t>
      </w:r>
    </w:p>
    <w:p>
      <w:pPr>
        <w:numPr>
          <w:ilvl w:val="1"/>
          <w:numId w:val="4"/>
        </w:numPr>
        <w:spacing w:lineRule="auto"/>
      </w:pPr>
      <w:r>
        <w:rPr/>
        <w:t xml:space="preserve">Managementsamenvatting</w:t>
      </w:r>
    </w:p>
    <w:p>
      <w:pPr>
        <w:numPr>
          <w:ilvl w:val="1"/>
          <w:numId w:val="4"/>
        </w:numPr>
        <w:spacing w:lineRule="auto"/>
      </w:pPr>
      <w:r>
        <w:rPr/>
        <w:t xml:space="preserve">Visie op de opdracht</w:t>
      </w:r>
    </w:p>
    <w:p>
      <w:pPr>
        <w:numPr>
          <w:ilvl w:val="1"/>
          <w:numId w:val="4"/>
        </w:numPr>
        <w:spacing w:lineRule="auto"/>
      </w:pPr>
      <w:r>
        <w:rPr/>
        <w:t xml:space="preserve">Begrip van de uitvraag &amp; doelstellingen</w:t>
      </w:r>
    </w:p>
    <w:p>
      <w:pPr>
        <w:numPr>
          <w:ilvl w:val="1"/>
          <w:numId w:val="4"/>
        </w:numPr>
        <w:spacing w:lineRule="auto"/>
      </w:pPr>
      <w:r>
        <w:rPr/>
        <w:t xml:space="preserve">Aanpak per gunningscriterium</w:t>
      </w:r>
    </w:p>
    <w:p>
      <w:pPr>
        <w:numPr>
          <w:ilvl w:val="2"/>
          <w:numId w:val="5"/>
        </w:numPr>
        <w:spacing w:lineRule="auto"/>
      </w:pPr>
      <w:r>
        <w:rPr/>
        <w:t xml:space="preserve">Doel opdrachtgever</w:t>
      </w:r>
    </w:p>
    <w:p>
      <w:pPr>
        <w:numPr>
          <w:ilvl w:val="2"/>
          <w:numId w:val="5"/>
        </w:numPr>
        <w:spacing w:lineRule="auto"/>
      </w:pPr>
      <w:r>
        <w:rPr/>
        <w:t xml:space="preserve">Concrete aanpak</w:t>
      </w:r>
    </w:p>
    <w:p>
      <w:pPr>
        <w:numPr>
          <w:ilvl w:val="2"/>
          <w:numId w:val="5"/>
        </w:numPr>
        <w:spacing w:lineRule="auto"/>
      </w:pPr>
      <w:r>
        <w:rPr/>
        <w:t xml:space="preserve">Toegevoegde waarde</w:t>
      </w:r>
    </w:p>
    <w:p>
      <w:pPr>
        <w:numPr>
          <w:ilvl w:val="2"/>
          <w:numId w:val="5"/>
        </w:numPr>
        <w:spacing w:lineRule="auto"/>
      </w:pPr>
      <w:r>
        <w:rPr/>
        <w:t xml:space="preserve">Meetbaar resultaat</w:t>
      </w:r>
    </w:p>
    <w:p>
      <w:pPr>
        <w:numPr>
          <w:ilvl w:val="1"/>
          <w:numId w:val="4"/>
        </w:numPr>
        <w:spacing w:lineRule="auto"/>
      </w:pPr>
      <w:r>
        <w:rPr/>
        <w:t xml:space="preserve">Planning &amp; fasering</w:t>
      </w:r>
    </w:p>
    <w:p>
      <w:pPr>
        <w:numPr>
          <w:ilvl w:val="1"/>
          <w:numId w:val="4"/>
        </w:numPr>
        <w:spacing w:lineRule="auto"/>
      </w:pPr>
      <w:r>
        <w:rPr/>
        <w:t xml:space="preserve">Projectorganisatie &amp; governance</w:t>
      </w:r>
    </w:p>
    <w:p>
      <w:pPr>
        <w:numPr>
          <w:ilvl w:val="1"/>
          <w:numId w:val="4"/>
        </w:numPr>
        <w:spacing w:lineRule="auto"/>
      </w:pPr>
      <w:r>
        <w:rPr/>
        <w:t xml:space="preserve">Kwaliteitsborging</w:t>
      </w:r>
    </w:p>
    <w:p>
      <w:pPr>
        <w:numPr>
          <w:ilvl w:val="1"/>
          <w:numId w:val="4"/>
        </w:numPr>
        <w:spacing w:lineRule="auto"/>
      </w:pPr>
      <w:r>
        <w:rPr/>
        <w:t xml:space="preserve">Risicoanalyse &amp; beheersmaatregelen</w:t>
      </w:r>
    </w:p>
    <w:p>
      <w:pPr>
        <w:numPr>
          <w:ilvl w:val="1"/>
          <w:numId w:val="4"/>
        </w:numPr>
        <w:spacing w:lineRule="auto"/>
      </w:pPr>
      <w:r>
        <w:rPr/>
        <w:t xml:space="preserve">Innovatie &amp; doorontwikkeling</w:t>
      </w:r>
    </w:p>
    <w:p>
      <w:pPr>
        <w:numPr>
          <w:ilvl w:val="1"/>
          <w:numId w:val="4"/>
        </w:numPr>
        <w:spacing w:lineRule="auto"/>
      </w:pPr>
      <w:r>
        <w:rPr/>
        <w:t xml:space="preserve">Duurzaamheid &amp; MVO</w:t>
      </w:r>
    </w:p>
    <w:p>
      <w:pPr>
        <w:numPr>
          <w:ilvl w:val="1"/>
          <w:numId w:val="4"/>
        </w:numPr>
        <w:spacing w:lineRule="auto"/>
      </w:pPr>
      <w:r>
        <w:rPr/>
        <w:t xml:space="preserve">Continuïteit &amp; kennisborging</w:t>
      </w:r>
    </w:p>
    <w:p>
      <w:pPr>
        <w:numPr>
          <w:ilvl w:val="1"/>
          <w:numId w:val="4"/>
        </w:numPr>
        <w:spacing w:lineRule="auto"/>
      </w:pPr>
      <w:r>
        <w:rPr/>
        <w:t xml:space="preserve">Referentieprojecten</w:t>
      </w:r>
    </w:p>
    <w:p>
      <w:pPr>
        <w:numPr>
          <w:ilvl w:val="1"/>
          <w:numId w:val="4"/>
        </w:numPr>
        <w:spacing w:lineRule="auto"/>
      </w:pPr>
      <w:r>
        <w:rPr/>
        <w:t xml:space="preserve">Conclusie &amp; meerwaarde</w:t>
      </w:r>
    </w:p>
    <w:p>
      <w:pPr>
        <w:numPr>
          <w:ilvl w:val="0"/>
          <w:numId w:val="3"/>
        </w:numPr>
        <w:spacing w:lineRule="auto"/>
      </w:pPr>
      <w:r>
        <w:rPr/>
        <w:t xml:space="preserve">Contextbestand (wizard-output)</w:t>
      </w:r>
    </w:p>
    <w:p>
      <w:pPr>
        <w:numPr>
          <w:ilvl w:val="1"/>
          <w:numId w:val="6"/>
        </w:numPr>
        <w:spacing w:lineRule="auto"/>
      </w:pPr>
      <w:r>
        <w:rPr/>
        <w:t xml:space="preserve">Tendergegevens (titel, referentie-id, looptijd en aanbestedende dienst voor zover bekend).</w:t>
      </w:r>
    </w:p>
    <w:p>
      <w:pPr>
        <w:numPr>
          <w:ilvl w:val="1"/>
          <w:numId w:val="6"/>
        </w:numPr>
        <w:spacing w:lineRule="auto"/>
      </w:pPr>
      <w:r>
        <w:rPr/>
        <w:t xml:space="preserve">Bedrijfsgegevens Digital Ease B.V. (naam, KvK, btw-nummer, adressen en contactgegevens voor zover bekend).</w:t>
      </w:r>
    </w:p>
    <w:p>
      <w:pPr>
        <w:numPr>
          <w:ilvl w:val="1"/>
          <w:numId w:val="6"/>
        </w:numPr>
        <w:spacing w:lineRule="auto"/>
      </w:pPr>
      <w:r>
        <w:rPr/>
        <w:t xml:space="preserve">Eventuele aanvullende velden voor eisen, mijlpalen, risico’s, KPI’s, aannames en uitsluitingen (in deze context niet verder gespecificeerd).</w:t>
      </w:r>
    </w:p>
    <w:p>
      <w:pPr>
        <w:numPr>
          <w:ilvl w:val="0"/>
          <w:numId w:val="3"/>
        </w:numPr>
        <w:spacing w:lineRule="auto"/>
      </w:pPr>
      <w:r>
        <w:rPr/>
        <w:t xml:space="preserve">Extracted notes (documents.extractedNotes)</w:t>
      </w:r>
    </w:p>
    <w:p>
      <w:pPr>
        <w:numPr>
          <w:ilvl w:val="1"/>
          <w:numId w:val="7"/>
        </w:numPr>
        <w:spacing w:lineRule="auto"/>
      </w:pPr>
      <w:r>
        <w:rPr/>
        <w:t xml:space="preserve">Samenvattende of afgeleide aantekeningen uit de aanbestedingsdocumenten, voor zover beschikbaar in de context.</w:t>
      </w:r>
    </w:p>
    <w:p>
      <w:pPr>
        <w:numPr>
          <w:ilvl w:val="1"/>
          <w:numId w:val="7"/>
        </w:numPr>
        <w:spacing w:lineRule="auto"/>
      </w:pPr>
      <w:r>
        <w:rPr/>
        <w:t xml:space="preserve">Basis voor de interpretatie van de opdracht en de vertaling naar EMVI-tekst.</w:t>
      </w:r>
    </w:p>
    <w:p>
      <w:pPr>
        <w:spacing w:lineRule="auto"/>
      </w:pPr>
      <w:r>
        <w:rPr/>
        <w:t xml:space="preserve">Structuur en onderlinge samenhang</w:t>
      </w:r>
    </w:p>
    <w:p>
      <w:pPr>
        <w:numPr>
          <w:ilvl w:val="0"/>
          <w:numId w:val="8"/>
        </w:numPr>
        <w:spacing w:lineRule="auto"/>
      </w:pPr>
      <w:r>
        <w:rPr/>
        <w:t xml:space="preserve">De EMVI-bundel is het primaire inhoudelijke document voor de beoordeling.</w:t>
      </w:r>
    </w:p>
    <w:p>
      <w:pPr>
        <w:numPr>
          <w:ilvl w:val="0"/>
          <w:numId w:val="8"/>
        </w:numPr>
        <w:spacing w:lineRule="auto"/>
      </w:pPr>
      <w:r>
        <w:rPr/>
        <w:t xml:space="preserve">De context (wizard-output) fungeert als bron voor:</w:t>
      </w:r>
    </w:p>
    <w:p>
      <w:pPr>
        <w:numPr>
          <w:ilvl w:val="1"/>
          <w:numId w:val="9"/>
        </w:numPr>
        <w:spacing w:lineRule="auto"/>
      </w:pPr>
      <w:r>
        <w:rPr/>
        <w:t xml:space="preserve">bedrijfsgegevens;</w:t>
      </w:r>
    </w:p>
    <w:p>
      <w:pPr>
        <w:numPr>
          <w:ilvl w:val="1"/>
          <w:numId w:val="9"/>
        </w:numPr>
        <w:spacing w:lineRule="auto"/>
      </w:pPr>
      <w:r>
        <w:rPr/>
        <w:t xml:space="preserve">propositie en uitgangspunten;</w:t>
      </w:r>
    </w:p>
    <w:p>
      <w:pPr>
        <w:numPr>
          <w:ilvl w:val="1"/>
          <w:numId w:val="9"/>
        </w:numPr>
        <w:spacing w:lineRule="auto"/>
      </w:pPr>
      <w:r>
        <w:rPr/>
        <w:t xml:space="preserve">eventuele randvoorwaarden, risico’s en KPI’s.</w:t>
      </w:r>
    </w:p>
    <w:p>
      <w:pPr>
        <w:numPr>
          <w:ilvl w:val="0"/>
          <w:numId w:val="8"/>
        </w:numPr>
        <w:spacing w:lineRule="auto"/>
      </w:pPr>
      <w:r>
        <w:rPr/>
        <w:t xml:space="preserve">De extracted notes (indien gevuld) vormen de brug tussen leidraad/PvE en de EMVI-antwoordstructuur:</w:t>
      </w:r>
    </w:p>
    <w:p>
      <w:pPr>
        <w:numPr>
          <w:ilvl w:val="1"/>
          <w:numId w:val="10"/>
        </w:numPr>
        <w:spacing w:lineRule="auto"/>
      </w:pPr>
      <w:r>
        <w:rPr/>
        <w:t xml:space="preserve">verduidelijken de eisen en gunningscriteria;</w:t>
      </w:r>
    </w:p>
    <w:p>
      <w:pPr>
        <w:numPr>
          <w:ilvl w:val="1"/>
          <w:numId w:val="10"/>
        </w:numPr>
        <w:spacing w:lineRule="auto"/>
      </w:pPr>
      <w:r>
        <w:rPr/>
        <w:t xml:space="preserve">zijn verwerkt in de hoofdstukken 2 t/m 10 van de EMVI-bundel.</w:t>
      </w:r>
    </w:p>
    <w:p>
      <w:pPr>
        <w:spacing w:lineRule="auto"/>
      </w:pPr>
      <w:r>
        <w:rPr/>
        <w:t xml:space="preserve">Hoe dit pakket te lezen en gebruiken</w:t>
      </w:r>
    </w:p>
    <w:p>
      <w:pPr>
        <w:numPr>
          <w:ilvl w:val="0"/>
          <w:numId w:val="11"/>
        </w:numPr>
        <w:spacing w:lineRule="auto"/>
      </w:pPr>
      <w:r>
        <w:rPr/>
        <w:t xml:space="preserve">Stap 1: Lees deze README</w:t>
      </w:r>
    </w:p>
    <w:p>
      <w:pPr>
        <w:numPr>
          <w:ilvl w:val="1"/>
          <w:numId w:val="12"/>
        </w:numPr>
        <w:spacing w:lineRule="auto"/>
      </w:pPr>
      <w:r>
        <w:rPr/>
        <w:t xml:space="preserve">Voor een snel overzicht van doel en structuur.</w:t>
      </w:r>
    </w:p>
    <w:p>
      <w:pPr>
        <w:numPr>
          <w:ilvl w:val="0"/>
          <w:numId w:val="11"/>
        </w:numPr>
        <w:spacing w:lineRule="auto"/>
      </w:pPr>
      <w:r>
        <w:rPr/>
        <w:t xml:space="preserve">Stap 2: Raadpleeg de aanbestedingsdocumenten van de aanbestedende dienst</w:t>
      </w:r>
    </w:p>
    <w:p>
      <w:pPr>
        <w:numPr>
          <w:ilvl w:val="1"/>
          <w:numId w:val="13"/>
        </w:numPr>
        <w:spacing w:lineRule="auto"/>
      </w:pPr>
      <w:r>
        <w:rPr/>
        <w:t xml:space="preserve">Leidraad, Programma van Eisen, beoordelingskader, ontwerp-overeenkomst.</w:t>
      </w:r>
    </w:p>
    <w:p>
      <w:pPr>
        <w:numPr>
          <w:ilvl w:val="1"/>
          <w:numId w:val="13"/>
        </w:numPr>
        <w:spacing w:lineRule="auto"/>
      </w:pPr>
      <w:r>
        <w:rPr/>
        <w:t xml:space="preserve">Deze documenten maken formeel geen deel uit van dit pakket maar zijn leidend.</w:t>
      </w:r>
    </w:p>
    <w:p>
      <w:pPr>
        <w:numPr>
          <w:ilvl w:val="0"/>
          <w:numId w:val="11"/>
        </w:numPr>
        <w:spacing w:lineRule="auto"/>
      </w:pPr>
      <w:r>
        <w:rPr/>
        <w:t xml:space="preserve">Stap 3: Lees de EMVI-bundel in de volgorde van de hoofdstukken</w:t>
      </w:r>
    </w:p>
    <w:p>
      <w:pPr>
        <w:numPr>
          <w:ilvl w:val="1"/>
          <w:numId w:val="14"/>
        </w:numPr>
        <w:spacing w:lineRule="auto"/>
      </w:pPr>
      <w:r>
        <w:rPr/>
        <w:t xml:space="preserve">Hoofdstukken 2 en 3: inzicht in visie en begrip van de opdracht.</w:t>
      </w:r>
    </w:p>
    <w:p>
      <w:pPr>
        <w:numPr>
          <w:ilvl w:val="1"/>
          <w:numId w:val="14"/>
        </w:numPr>
        <w:spacing w:lineRule="auto"/>
      </w:pPr>
      <w:r>
        <w:rPr/>
        <w:t xml:space="preserve">Hoofdstuk 4: directe koppeling met gunningscriteria en beoordelingskader.</w:t>
      </w:r>
    </w:p>
    <w:p>
      <w:pPr>
        <w:numPr>
          <w:ilvl w:val="1"/>
          <w:numId w:val="14"/>
        </w:numPr>
        <w:spacing w:lineRule="auto"/>
      </w:pPr>
      <w:r>
        <w:rPr/>
        <w:t xml:space="preserve">Hoofdstukken 5 t/m 11: borging, risico’s, kwaliteit, continuïteit, duurzaamheid en innovatie.</w:t>
      </w:r>
    </w:p>
    <w:p>
      <w:pPr>
        <w:numPr>
          <w:ilvl w:val="1"/>
          <w:numId w:val="14"/>
        </w:numPr>
        <w:spacing w:lineRule="auto"/>
      </w:pPr>
      <w:r>
        <w:rPr/>
        <w:t xml:space="preserve">Hoofdstuk 12 en 13: onderbouwing met referenties en samenvattende meerwaarde.</w:t>
      </w:r>
    </w:p>
    <w:p>
      <w:pPr>
        <w:numPr>
          <w:ilvl w:val="0"/>
          <w:numId w:val="11"/>
        </w:numPr>
        <w:spacing w:lineRule="auto"/>
      </w:pPr>
      <w:r>
        <w:rPr/>
        <w:t xml:space="preserve">Stap 4: Controleer consistentie met het aanbestedingsportaal</w:t>
      </w:r>
    </w:p>
    <w:p>
      <w:pPr>
        <w:numPr>
          <w:ilvl w:val="1"/>
          <w:numId w:val="15"/>
        </w:numPr>
        <w:spacing w:lineRule="auto"/>
      </w:pPr>
      <w:r>
        <w:rPr/>
        <w:t xml:space="preserve">Vul waar nodig bedrijfsgegevens (zoals contactpersoon, e-mail en telefoon) in de daarvoor bestemde digitale formulieren op het portaal in.</w:t>
      </w:r>
    </w:p>
    <w:p>
      <w:pPr>
        <w:numPr>
          <w:ilvl w:val="1"/>
          <w:numId w:val="15"/>
        </w:numPr>
        <w:spacing w:lineRule="auto"/>
      </w:pPr>
      <w:r>
        <w:rPr/>
        <w:t xml:space="preserve">Zorg dat namen, KvK- en btw-gegevens exact overeenkomen met de gegevens in de EMVI-bundel.</w:t>
      </w:r>
    </w:p>
    <w:p>
      <w:pPr>
        <w:numPr>
          <w:ilvl w:val="0"/>
          <w:numId w:val="11"/>
        </w:numPr>
        <w:spacing w:lineRule="auto"/>
      </w:pPr>
      <w:r>
        <w:rPr/>
        <w:t xml:space="preserve">Stap 5: Indienen</w:t>
      </w:r>
    </w:p>
    <w:p>
      <w:pPr>
        <w:numPr>
          <w:ilvl w:val="1"/>
          <w:numId w:val="16"/>
        </w:numPr>
        <w:spacing w:lineRule="auto"/>
      </w:pPr>
      <w:r>
        <w:rPr/>
        <w:t xml:space="preserve">Gebruik de EMVI-bundel als bijlage bij het gunningscriterium “Kwaliteit/EMVI” of vergelijkbare rubriek.</w:t>
      </w:r>
    </w:p>
    <w:p>
      <w:pPr>
        <w:numPr>
          <w:ilvl w:val="1"/>
          <w:numId w:val="16"/>
        </w:numPr>
        <w:spacing w:lineRule="auto"/>
      </w:pPr>
      <w:r>
        <w:rPr/>
        <w:t xml:space="preserve">Vul verplichte standaardformulieren van de aanbestedende dienst (Eigen verklaring, UEA, prijsblad, etc.) separaat in en verwijs indien gewenst naar de EMVI-bundel.</w:t>
      </w:r>
    </w:p>
    <w:p>
      <w:pPr>
        <w:spacing w:lineRule="auto"/>
      </w:pPr>
      <w:r>
        <w:rPr/>
        <w:t xml:space="preserve">Rol van de afzonderlijke hoofdstukken bij beoordeling</w:t>
      </w:r>
    </w:p>
    <w:p>
      <w:pPr>
        <w:numPr>
          <w:ilvl w:val="0"/>
          <w:numId w:val="17"/>
        </w:numPr>
        <w:spacing w:lineRule="auto"/>
      </w:pPr>
      <w:r>
        <w:rPr/>
        <w:t xml:space="preserve">Hoofdstuk 1–3: Toetsing op begrip van opdracht, doelen en context.</w:t>
      </w:r>
    </w:p>
    <w:p>
      <w:pPr>
        <w:numPr>
          <w:ilvl w:val="0"/>
          <w:numId w:val="17"/>
        </w:numPr>
        <w:spacing w:lineRule="auto"/>
      </w:pPr>
      <w:r>
        <w:rPr/>
        <w:t xml:space="preserve">Hoofdstuk 4: Hoofdbron voor EMVI-score (kwaliteit, aanpak, meerwaarde).</w:t>
      </w:r>
    </w:p>
    <w:p>
      <w:pPr>
        <w:numPr>
          <w:ilvl w:val="0"/>
          <w:numId w:val="17"/>
        </w:numPr>
        <w:spacing w:lineRule="auto"/>
      </w:pPr>
      <w:r>
        <w:rPr/>
        <w:t xml:space="preserve">Hoofdstuk 5–7: Aantoonbaarheid en borging (planningen, processen, kwaliteitsmanagement).</w:t>
      </w:r>
    </w:p>
    <w:p>
      <w:pPr>
        <w:numPr>
          <w:ilvl w:val="0"/>
          <w:numId w:val="17"/>
        </w:numPr>
        <w:spacing w:lineRule="auto"/>
      </w:pPr>
      <w:r>
        <w:rPr/>
        <w:t xml:space="preserve">Hoofdstuk 8: Risicobeheersing en realiteitsgehalte van de aanbieding.</w:t>
      </w:r>
    </w:p>
    <w:p>
      <w:pPr>
        <w:numPr>
          <w:ilvl w:val="0"/>
          <w:numId w:val="17"/>
        </w:numPr>
        <w:spacing w:lineRule="auto"/>
      </w:pPr>
      <w:r>
        <w:rPr/>
        <w:t xml:space="preserve">Hoofdstuk 9–10: Innovatie, duurzaamheid en MVO als onderscheidende factoren.</w:t>
      </w:r>
    </w:p>
    <w:p>
      <w:pPr>
        <w:numPr>
          <w:ilvl w:val="0"/>
          <w:numId w:val="17"/>
        </w:numPr>
        <w:spacing w:lineRule="auto"/>
      </w:pPr>
      <w:r>
        <w:rPr/>
        <w:t xml:space="preserve">Hoofdstuk 11–12: Continuïteit, kennisborging en bewezen ervaring.</w:t>
      </w:r>
    </w:p>
    <w:p>
      <w:pPr>
        <w:numPr>
          <w:ilvl w:val="0"/>
          <w:numId w:val="17"/>
        </w:numPr>
        <w:spacing w:lineRule="auto"/>
      </w:pPr>
      <w:r>
        <w:rPr/>
        <w:t xml:space="preserve">Hoofdstuk 13: Samenvattend oordeel over meerwaarde t.o.v. een standaardoplossing.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— Lees Mij</dc:title>
  <dc:subject/>
  <dc:creator>html-to-docx</dc:creator>
  <cp:keywords>html-to-docx</cp:keywords>
  <dc:description/>
  <cp:lastModifiedBy>html-to-docx</cp:lastModifiedBy>
  <cp:revision>1</cp:revision>
  <dcterms:created xsi:type="dcterms:W3CDTF">2025-12-24T16:16:07.624Z</dcterms:created>
  <dcterms:modified xsi:type="dcterms:W3CDTF">2025-12-24T16:16:07.624Z</dcterms:modified>
</cp:coreProperties>
</file>