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Beoordelingsmethodiek (EMVI/BPKV)</w:t>
      </w:r>
    </w:p>
    <w:p>
      <w:pPr>
        <w:pStyle w:val="Heading2"/>
        <w:spacing w:lineRule="auto"/>
      </w:pPr>
      <w:r>
        <w:rPr/>
        <w:t xml:space="preserve">Uno Automatiseringdiensten B.V. — Raamovereenkomst Catering- en Horecadiensten voor Gemeente Middenstad</w:t>
      </w:r>
    </w:p>
    <w:p>
      <w:pPr>
        <w:spacing w:lineRule="auto"/>
      </w:pPr>
      <w:r>
        <w:rPr/>
        <w:t xml:space="preserve">     26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Beoordelingsmethodiek — Raamovereenkomst Catering- en Horecadiensten voor Gemeente Middenstad (Project 1380) — EMVI/BPKV</w:t>
      </w:r>
    </w:p>
    <w:p>
      <w:pPr>
        <w:spacing w:lineRule="auto"/>
      </w:pPr>
      <w:r>
        <w:rPr/>
        <w:t xml:space="preserve">Context en conformiteit</w:t>
      </w:r>
    </w:p>
    <w:p>
      <w:pPr>
        <w:numPr>
          <w:ilvl w:val="0"/>
          <w:numId w:val="1"/>
        </w:numPr>
        <w:spacing w:lineRule="auto"/>
      </w:pPr>
      <w:r>
        <w:rPr/>
        <w:t xml:space="preserve">Aanbestedende dienst: NVAO (NL), EMVI (BPKV).</w:t>
      </w:r>
    </w:p>
    <w:p>
      <w:pPr>
        <w:numPr>
          <w:ilvl w:val="0"/>
          <w:numId w:val="1"/>
        </w:numPr>
        <w:spacing w:lineRule="auto"/>
      </w:pPr>
      <w:r>
        <w:rPr/>
        <w:t xml:space="preserve">Leveromvang: 24/7 beheer, onderhoud en beveiliging van cloud- en infrastructuuroplossingen; EU-dataverwerking; ITIL-servicedesk; monitoring en patchmanagement; M365-ondersteuning; BCP/DR.</w:t>
      </w:r>
    </w:p>
    <w:p>
      <w:pPr>
        <w:numPr>
          <w:ilvl w:val="0"/>
          <w:numId w:val="1"/>
        </w:numPr>
        <w:spacing w:lineRule="auto"/>
      </w:pPr>
      <w:r>
        <w:rPr/>
        <w:t xml:space="preserve">Knock-outs: voldaan aan ISO 27001 en ISO 9001; 24/7 bereikbaarheidsdienst is ingericht.</w:t>
      </w:r>
    </w:p>
    <w:p>
      <w:pPr>
        <w:numPr>
          <w:ilvl w:val="0"/>
          <w:numId w:val="1"/>
        </w:numPr>
        <w:spacing w:lineRule="auto"/>
      </w:pPr>
      <w:r>
        <w:rPr/>
        <w:t xml:space="preserve">SLA’s: Beschikbaarheid kritieke systemen ≥ 99,8% per maand; P1-responstijd &lt; 30 min; P1-oplostijd &lt; 4 uur.</w:t>
      </w:r>
    </w:p>
    <w:p>
      <w:pPr>
        <w:spacing w:lineRule="auto"/>
      </w:pPr>
      <w:r>
        <w:rPr/>
        <w:t xml:space="preserve">Beoordelingsschaal en -methodiek</w:t>
      </w:r>
    </w:p>
    <w:p>
      <w:pPr>
        <w:numPr>
          <w:ilvl w:val="0"/>
          <w:numId w:val="2"/>
        </w:numPr>
        <w:spacing w:lineRule="auto"/>
      </w:pPr>
      <w:r>
        <w:rPr/>
        <w:t xml:space="preserve">Weging per criterium: zie tabel. Totale score = som(criteriumscore x weging).</w:t>
      </w:r>
    </w:p>
    <w:p>
      <w:pPr>
        <w:numPr>
          <w:ilvl w:val="0"/>
          <w:numId w:val="2"/>
        </w:numPr>
        <w:spacing w:lineRule="auto"/>
      </w:pPr>
      <w:r>
        <w:rPr/>
        <w:t xml:space="preserve">Beoordelingsschaal (0–10):</w:t>
      </w:r>
    </w:p>
    <w:p>
      <w:pPr>
        <w:numPr>
          <w:ilvl w:val="1"/>
          <w:numId w:val="3"/>
        </w:numPr>
        <w:spacing w:lineRule="auto"/>
      </w:pPr>
      <w:r>
        <w:rPr/>
        <w:t xml:space="preserve">10: Overstijgt eisen aantoonbaar; structureel bewezen prestaties; meetbare meerwaarde en risicoverlaging.</w:t>
      </w:r>
    </w:p>
    <w:p>
      <w:pPr>
        <w:numPr>
          <w:ilvl w:val="1"/>
          <w:numId w:val="3"/>
        </w:numPr>
        <w:spacing w:lineRule="auto"/>
      </w:pPr>
      <w:r>
        <w:rPr/>
        <w:t xml:space="preserve">8: Volledige dekking eisen + duidelijke meerwaarde; aantoonbaar haalbaar met KPI’s en bewijzen.</w:t>
      </w:r>
    </w:p>
    <w:p>
      <w:pPr>
        <w:numPr>
          <w:ilvl w:val="1"/>
          <w:numId w:val="3"/>
        </w:numPr>
        <w:spacing w:lineRule="auto"/>
      </w:pPr>
      <w:r>
        <w:rPr/>
        <w:t xml:space="preserve">6: Voldoet SMART aan alle eisen; beperkte meerwaarde.</w:t>
      </w:r>
    </w:p>
    <w:p>
      <w:pPr>
        <w:numPr>
          <w:ilvl w:val="1"/>
          <w:numId w:val="3"/>
        </w:numPr>
        <w:spacing w:lineRule="auto"/>
      </w:pPr>
      <w:r>
        <w:rPr/>
        <w:t xml:space="preserve">4: Voldoet grotendeels; tekortkomingen of onvoldoende bewijs.</w:t>
      </w:r>
    </w:p>
    <w:p>
      <w:pPr>
        <w:numPr>
          <w:ilvl w:val="1"/>
          <w:numId w:val="3"/>
        </w:numPr>
        <w:spacing w:lineRule="auto"/>
      </w:pPr>
      <w:r>
        <w:rPr/>
        <w:t xml:space="preserve">0: Voldoet niet aan eisen/KO’s.</w:t>
      </w:r>
    </w:p>
    <w:p>
      <w:pPr>
        <w:spacing w:lineRule="auto"/>
      </w:pPr>
      <w:r>
        <w:rPr/>
        <w:t xml:space="preserve">Werkpakketten (W-xx)</w:t>
      </w:r>
    </w:p>
    <w:p>
      <w:pPr>
        <w:numPr>
          <w:ilvl w:val="0"/>
          <w:numId w:val="4"/>
        </w:numPr>
        <w:spacing w:lineRule="auto"/>
      </w:pPr>
      <w:r>
        <w:rPr/>
        <w:t xml:space="preserve">W-01 Service-intake &amp; Transitie</w:t>
      </w:r>
    </w:p>
    <w:p>
      <w:pPr>
        <w:numPr>
          <w:ilvl w:val="0"/>
          <w:numId w:val="4"/>
        </w:numPr>
        <w:spacing w:lineRule="auto"/>
      </w:pPr>
      <w:r>
        <w:rPr/>
        <w:t xml:space="preserve">W-02 24/7 Monitoring &amp; Event Management</w:t>
      </w:r>
    </w:p>
    <w:p>
      <w:pPr>
        <w:numPr>
          <w:ilvl w:val="0"/>
          <w:numId w:val="4"/>
        </w:numPr>
        <w:spacing w:lineRule="auto"/>
      </w:pPr>
      <w:r>
        <w:rPr/>
        <w:t xml:space="preserve">W-03 Incident- &amp; Major Incident Management</w:t>
      </w:r>
    </w:p>
    <w:p>
      <w:pPr>
        <w:numPr>
          <w:ilvl w:val="0"/>
          <w:numId w:val="4"/>
        </w:numPr>
        <w:spacing w:lineRule="auto"/>
      </w:pPr>
      <w:r>
        <w:rPr/>
        <w:t xml:space="preserve">W-04 Change &amp; Release Management</w:t>
      </w:r>
    </w:p>
    <w:p>
      <w:pPr>
        <w:numPr>
          <w:ilvl w:val="0"/>
          <w:numId w:val="4"/>
        </w:numPr>
        <w:spacing w:lineRule="auto"/>
      </w:pPr>
      <w:r>
        <w:rPr/>
        <w:t xml:space="preserve">W-05 Patch- &amp; Vulnerability Management</w:t>
      </w:r>
    </w:p>
    <w:p>
      <w:pPr>
        <w:numPr>
          <w:ilvl w:val="0"/>
          <w:numId w:val="4"/>
        </w:numPr>
        <w:spacing w:lineRule="auto"/>
      </w:pPr>
      <w:r>
        <w:rPr/>
        <w:t xml:space="preserve">W-06 Configuratie- &amp; Asset Management (CMDB)</w:t>
      </w:r>
    </w:p>
    <w:p>
      <w:pPr>
        <w:numPr>
          <w:ilvl w:val="0"/>
          <w:numId w:val="4"/>
        </w:numPr>
        <w:spacing w:lineRule="auto"/>
      </w:pPr>
      <w:r>
        <w:rPr/>
        <w:t xml:space="preserve">W-07 Continuïteit &amp; BCP/DR</w:t>
      </w:r>
    </w:p>
    <w:p>
      <w:pPr>
        <w:numPr>
          <w:ilvl w:val="0"/>
          <w:numId w:val="4"/>
        </w:numPr>
        <w:spacing w:lineRule="auto"/>
      </w:pPr>
      <w:r>
        <w:rPr/>
        <w:t xml:space="preserve">W-08 Security Operations</w:t>
      </w:r>
    </w:p>
    <w:p>
      <w:pPr>
        <w:numPr>
          <w:ilvl w:val="0"/>
          <w:numId w:val="4"/>
        </w:numPr>
        <w:spacing w:lineRule="auto"/>
      </w:pPr>
      <w:r>
        <w:rPr/>
        <w:t xml:space="preserve">W-09 Servicedesk &amp; Kennismanagement</w:t>
      </w:r>
    </w:p>
    <w:p>
      <w:pPr>
        <w:numPr>
          <w:ilvl w:val="0"/>
          <w:numId w:val="4"/>
        </w:numPr>
        <w:spacing w:lineRule="auto"/>
      </w:pPr>
      <w:r>
        <w:rPr/>
        <w:t xml:space="preserve">W-10 Rapportage, KPI &amp; Improvement Board</w:t>
      </w:r>
    </w:p>
    <w:p>
      <w:pPr>
        <w:numPr>
          <w:ilvl w:val="0"/>
          <w:numId w:val="4"/>
        </w:numPr>
        <w:spacing w:lineRule="auto"/>
      </w:pPr>
      <w:r>
        <w:rPr/>
        <w:t xml:space="preserve">W-11 Contract- &amp; Supplier Management</w:t>
      </w:r>
    </w:p>
    <w:p>
      <w:pPr>
        <w:numPr>
          <w:ilvl w:val="0"/>
          <w:numId w:val="4"/>
        </w:numPr>
        <w:spacing w:lineRule="auto"/>
      </w:pPr>
      <w:r>
        <w:rPr/>
        <w:t xml:space="preserve">W-12 Duurzaamheid &amp; GreenOps</w:t>
      </w:r>
    </w:p>
    <w:p>
      <w:pPr>
        <w:spacing w:lineRule="auto"/>
      </w:pPr>
      <w:r>
        <w:rPr/>
        <w:t xml:space="preserve">Beoordelingsstructuur (tabel)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EMVI-criterium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Weging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Beoordelingsschaal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Wat goed eruitziet (samengevat)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Onze invulling (samengevat)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Gerelateerde W-xx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Belangrijkste KPI’s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Bewijs</w:t>
            </w:r>
          </w:p>
        </w:tc>
      </w:t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Kwaliteit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0–10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End-to-end regie, 24/7 dekking, aantoonbare SLA-sturing op 99,8%+, eerstelijns oplossingsgraad hoog, aantoonbaar lage MTTR, zero-trust security by design, ITIL4-procesvolwassenheid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Dedicated onboarding in 6 weken; 24/7 NOC; ITIL4 processen; zero-trust; geautomatiseerde patching; CMDB; M365-expertise; maandelijkse PDCA-verbetercyclus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W-01, W-02, W-03, W-04, W-05, W-06, W-09, W-10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Avail ≥99,8%; P1 resp &lt;30m; P1 fix &lt;4h; FCR ≥70%; CSAT ≥8,2; Change success ≥98%; Patch compl ≥95%/14d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ISO 9001/27001; SLA-rapportages; CMDB-exports; changelog; klanttevredenheidsenquêtes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Duurzaamheid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0–10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Meetbare CO2e-reductie, EU-datacenter met groene stroom, e-waste 100% gecertificeerd verwerkt, reisreductie, GreenOps met kosten/energiebesparing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GreenOps-Fit: right-sizing, scheduling; 100% EU-hosting; 90% remote oplossingen; 100% WEEE-conforme afvoer; jaarlijkse CO2e-footprint rapport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W-12, W-11, W-02, W-10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-15% kWh/werkload in jaar 1; -30% in 36 mnd; 90% tickets remote; 100% e-waste gecertificeerd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Energie- en verbruikrapport; e-waste certificaten; GreenOps-rapporten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Risicobeheersing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0–10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Proactieve risicoanalyse; expliciete triggers; runbooks; BCP/DR getest; aantoonbare verkorting van MTTD/MTTR; supply chain controls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Actueel risicodossier; halfjaarlijkse DR-test; playbooks; SOC-meldingen; ketenafspraken met leveranciers; continuïteitsovereenkomst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W-07, W-08, W-03, W-04, W-11, W-10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MTTD ≤15m; MTTC ≤2h; DR RTO ≤4h/RPO ≤15m; 100% postmortems &lt;5wd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Risicolog; DR-testrapporten; postmortems; SOC-alerting exports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0–10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Transparante TCO, voorspelbare indexatie, gunstige benchmark op run-rate, aantoonbare besparingen door automatisering/GreenOps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All-in beheerfee per device/workload; geen verborgen kosten; indexatie CPI; besparingsbacklog met kwartaalrealisatie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W-10, W-11, W-12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≥10% TCO-besparing jaar 1 door GreenOps/automatisering; ≥20% over 36 mnd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Prijsblad; TCO-berekening; realisatieverslagen besparingen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Uitwerking per criterium (SMART en PDCA)</w:t>
      </w:r>
    </w:p>
    <w:p>
      <w:pPr>
        <w:numPr>
          <w:ilvl w:val="0"/>
          <w:numId w:val="5"/>
        </w:numPr>
        <w:spacing w:lineRule="auto"/>
      </w:pPr>
      <w:r>
        <w:rPr/>
        <w:t xml:space="preserve">Kwaliteit (40%) Wat goed eruitziet</w:t>
      </w:r>
    </w:p>
    <w:p>
      <w:pPr>
        <w:numPr>
          <w:ilvl w:val="0"/>
          <w:numId w:val="6"/>
        </w:numPr>
        <w:spacing w:lineRule="auto"/>
      </w:pPr>
      <w:r>
        <w:rPr/>
        <w:t xml:space="preserve">Continuïteit: ≥99,8% beschikbaarheid per maand op kritieke systemen.</w:t>
      </w:r>
    </w:p>
    <w:p>
      <w:pPr>
        <w:numPr>
          <w:ilvl w:val="0"/>
          <w:numId w:val="6"/>
        </w:numPr>
        <w:spacing w:lineRule="auto"/>
      </w:pPr>
      <w:r>
        <w:rPr/>
        <w:t xml:space="preserve">Snelheid: P1 responstijd &lt; 30 min; P1 oplostijd &lt; 4 uur (gemiddeld per maand).</w:t>
      </w:r>
    </w:p>
    <w:p>
      <w:pPr>
        <w:numPr>
          <w:ilvl w:val="0"/>
          <w:numId w:val="6"/>
        </w:numPr>
        <w:spacing w:lineRule="auto"/>
      </w:pPr>
      <w:r>
        <w:rPr/>
        <w:t xml:space="preserve">Efficiëntie: First Contact Resolution ≥ 70%; Change success rate ≥ 98%.</w:t>
      </w:r>
    </w:p>
    <w:p>
      <w:pPr>
        <w:numPr>
          <w:ilvl w:val="0"/>
          <w:numId w:val="6"/>
        </w:numPr>
        <w:spacing w:lineRule="auto"/>
      </w:pPr>
      <w:r>
        <w:rPr/>
        <w:t xml:space="preserve">Beveiliging: 100% kritieke patches binnen 7 dagen; high binnen 14 dagen; MTTD ≤ 15 min (24/7).</w:t>
      </w:r>
    </w:p>
    <w:p>
      <w:pPr>
        <w:spacing w:lineRule="auto"/>
      </w:pPr>
      <w:r>
        <w:rPr/>
        <w:t xml:space="preserve">Onze invulling (Plan-Do-Check-Act)</w:t>
      </w:r>
    </w:p>
    <w:p>
      <w:pPr>
        <w:numPr>
          <w:ilvl w:val="0"/>
          <w:numId w:val="7"/>
        </w:numPr>
        <w:spacing w:lineRule="auto"/>
      </w:pPr>
      <w:r>
        <w:rPr/>
        <w:t xml:space="preserve">Plan: W-01 intake (CMDB opbouw, runbooks, kritieke ketens), serviceportfoliokaart, KPI-baseline, acceptatiecriteria per systeem.</w:t>
      </w:r>
    </w:p>
    <w:p>
      <w:pPr>
        <w:numPr>
          <w:ilvl w:val="0"/>
          <w:numId w:val="7"/>
        </w:numPr>
        <w:spacing w:lineRule="auto"/>
      </w:pPr>
      <w:r>
        <w:rPr/>
        <w:t xml:space="preserve">Do: W-02 24/7 monitoring met automatische correlatie en escalatie; W-03 major incident-proces; W-04 gecontroleerde releases; W-05 geautomatiseerd patchen; W-09 ITIL4-servicedesk met kennisbank.</w:t>
      </w:r>
    </w:p>
    <w:p>
      <w:pPr>
        <w:numPr>
          <w:ilvl w:val="0"/>
          <w:numId w:val="7"/>
        </w:numPr>
        <w:spacing w:lineRule="auto"/>
      </w:pPr>
      <w:r>
        <w:rPr/>
        <w:t xml:space="preserve">Check: W-10 maandrapportages (SLA/KPI, trendanalyse, root causes), kwaliteitsaudits (ISO 9001, 27001).</w:t>
      </w:r>
    </w:p>
    <w:p>
      <w:pPr>
        <w:numPr>
          <w:ilvl w:val="0"/>
          <w:numId w:val="7"/>
        </w:numPr>
        <w:spacing w:lineRule="auto"/>
      </w:pPr>
      <w:r>
        <w:rPr/>
        <w:t xml:space="preserve">Act: Maandelijkse Improvement Board; 90-dagen verbeterbacklog; Kaizen-kaarten per structurele afwijking.</w:t>
      </w:r>
    </w:p>
    <w:p>
      <w:pPr>
        <w:spacing w:lineRule="auto"/>
      </w:pPr>
      <w:r>
        <w:rPr/>
        <w:t xml:space="preserve">Kruisverband W-xx ↔ KPI ↔ Risico ↔ Bewijs</w:t>
      </w:r>
    </w:p>
    <w:p>
      <w:pPr>
        <w:numPr>
          <w:ilvl w:val="0"/>
          <w:numId w:val="8"/>
        </w:numPr>
        <w:spacing w:lineRule="auto"/>
      </w:pPr>
      <w:r>
        <w:rPr/>
        <w:t xml:space="preserve">W-02 → Avail ≥99,8%; Risico: onopgemerkte verstoringen → Bewijs: uptime-rapporten en probe-logs.</w:t>
      </w:r>
    </w:p>
    <w:p>
      <w:pPr>
        <w:numPr>
          <w:ilvl w:val="0"/>
          <w:numId w:val="8"/>
        </w:numPr>
        <w:spacing w:lineRule="auto"/>
      </w:pPr>
      <w:r>
        <w:rPr/>
        <w:t xml:space="preserve">W-03 → P1 resp &lt;30m, fix &lt;4h; Risico: escalatievertraging → Bewijs: ticket-tijdlijnen, war room-logs.</w:t>
      </w:r>
    </w:p>
    <w:p>
      <w:pPr>
        <w:numPr>
          <w:ilvl w:val="0"/>
          <w:numId w:val="8"/>
        </w:numPr>
        <w:spacing w:lineRule="auto"/>
      </w:pPr>
      <w:r>
        <w:rPr/>
        <w:t xml:space="preserve">W-05 → Patch compl ≥95%/14d; Risico: exploitatie kwetsbaarheden → Bewijs: patch compliance-rapporten.</w:t>
      </w:r>
    </w:p>
    <w:p>
      <w:pPr>
        <w:numPr>
          <w:ilvl w:val="0"/>
          <w:numId w:val="8"/>
        </w:numPr>
        <w:spacing w:lineRule="auto"/>
      </w:pPr>
      <w:r>
        <w:rPr/>
        <w:t xml:space="preserve">W-04 → Change success ≥98%; Risico: verstoring door changes → Bewijs: CAB-notulen, release-notes.</w:t>
      </w:r>
    </w:p>
    <w:p>
      <w:pPr>
        <w:numPr>
          <w:ilvl w:val="0"/>
          <w:numId w:val="8"/>
        </w:numPr>
        <w:spacing w:lineRule="auto"/>
      </w:pPr>
      <w:r>
        <w:rPr/>
        <w:t xml:space="preserve">W-09 → FCR ≥70%, CSAT ≥8,2; Risico: lage gebruikerstevredenheid → Bewijs: CSAT-enquêtes, QA-samples.</w:t>
      </w:r>
    </w:p>
    <w:p>
      <w:pPr>
        <w:numPr>
          <w:ilvl w:val="0"/>
          <w:numId w:val="9"/>
        </w:numPr>
        <w:spacing w:lineRule="auto"/>
      </w:pPr>
      <w:r>
        <w:rPr/>
        <w:t xml:space="preserve">Duurzaamheid (20%) Wat goed eruitziet</w:t>
      </w:r>
    </w:p>
    <w:p>
      <w:pPr>
        <w:numPr>
          <w:ilvl w:val="0"/>
          <w:numId w:val="10"/>
        </w:numPr>
        <w:spacing w:lineRule="auto"/>
      </w:pPr>
      <w:r>
        <w:rPr/>
        <w:t xml:space="preserve">Energie-efficiënt: meetbare reductie in kWh/werkload en CO2e.</w:t>
      </w:r>
    </w:p>
    <w:p>
      <w:pPr>
        <w:numPr>
          <w:ilvl w:val="0"/>
          <w:numId w:val="10"/>
        </w:numPr>
        <w:spacing w:lineRule="auto"/>
      </w:pPr>
      <w:r>
        <w:rPr/>
        <w:t xml:space="preserve">Circulair: 100% gecertificeerde e-waste verwerking; levensduurverlenging devices.</w:t>
      </w:r>
    </w:p>
    <w:p>
      <w:pPr>
        <w:numPr>
          <w:ilvl w:val="0"/>
          <w:numId w:val="10"/>
        </w:numPr>
        <w:spacing w:lineRule="auto"/>
      </w:pPr>
      <w:r>
        <w:rPr/>
        <w:t xml:space="preserve">Mobiliteit: maximaal remote, minimale reis-CO2.</w:t>
      </w:r>
    </w:p>
    <w:p>
      <w:pPr>
        <w:numPr>
          <w:ilvl w:val="0"/>
          <w:numId w:val="10"/>
        </w:numPr>
        <w:spacing w:lineRule="auto"/>
      </w:pPr>
      <w:r>
        <w:rPr/>
        <w:t xml:space="preserve">Cloud-footprint: right-sizing, scheduling, en datalocatie binnen EU.</w:t>
      </w:r>
    </w:p>
    <w:p>
      <w:pPr>
        <w:spacing w:lineRule="auto"/>
      </w:pPr>
      <w:r>
        <w:rPr/>
        <w:t xml:space="preserve">Onze invulling (Plan-Do-Check-Act)</w:t>
      </w:r>
    </w:p>
    <w:p>
      <w:pPr>
        <w:numPr>
          <w:ilvl w:val="0"/>
          <w:numId w:val="11"/>
        </w:numPr>
        <w:spacing w:lineRule="auto"/>
      </w:pPr>
      <w:r>
        <w:rPr/>
        <w:t xml:space="preserve">Plan: W-12 GreenOps-assessment; nulmeting kWh/CO2e; reductiedoelen (-15% jaar 1, -30% in 36 mnd).</w:t>
      </w:r>
    </w:p>
    <w:p>
      <w:pPr>
        <w:numPr>
          <w:ilvl w:val="0"/>
          <w:numId w:val="11"/>
        </w:numPr>
        <w:spacing w:lineRule="auto"/>
      </w:pPr>
      <w:r>
        <w:rPr/>
        <w:t xml:space="preserve">Do: Right-sizing en auto-scheduling; reserveringen/efficiënte tiers; 90% remote tickets; gecertificeerde inzameling/verwerking (WEEE).</w:t>
      </w:r>
    </w:p>
    <w:p>
      <w:pPr>
        <w:numPr>
          <w:ilvl w:val="0"/>
          <w:numId w:val="11"/>
        </w:numPr>
        <w:spacing w:lineRule="auto"/>
      </w:pPr>
      <w:r>
        <w:rPr/>
        <w:t xml:space="preserve">Check: W-10 kwartaalrapport CO2e, kWh per workload, remote %; leveranciersrapportages (W-11).</w:t>
      </w:r>
    </w:p>
    <w:p>
      <w:pPr>
        <w:numPr>
          <w:ilvl w:val="0"/>
          <w:numId w:val="11"/>
        </w:numPr>
        <w:spacing w:lineRule="auto"/>
      </w:pPr>
      <w:r>
        <w:rPr/>
        <w:t xml:space="preserve">Act: GreenOps-backlog prioriteren; uitfaseren energie-intensieve workloads; optimalisatie itereren.</w:t>
      </w:r>
    </w:p>
    <w:p>
      <w:pPr>
        <w:spacing w:lineRule="auto"/>
      </w:pPr>
      <w:r>
        <w:rPr/>
        <w:t xml:space="preserve">Kruisverband W-xx ↔ KPI ↔ Risico ↔ Bewijs</w:t>
      </w:r>
    </w:p>
    <w:p>
      <w:pPr>
        <w:numPr>
          <w:ilvl w:val="0"/>
          <w:numId w:val="12"/>
        </w:numPr>
        <w:spacing w:lineRule="auto"/>
      </w:pPr>
      <w:r>
        <w:rPr/>
        <w:t xml:space="preserve">W-12 → -15% kWh/werkload jaar 1; Risico: energieverspilling → Bewijs: GreenOps-rapporten, cloud-metering.</w:t>
      </w:r>
    </w:p>
    <w:p>
      <w:pPr>
        <w:numPr>
          <w:ilvl w:val="0"/>
          <w:numId w:val="12"/>
        </w:numPr>
        <w:spacing w:lineRule="auto"/>
      </w:pPr>
      <w:r>
        <w:rPr/>
        <w:t xml:space="preserve">W-11 → 100% e-waste gecertificeerd; Risico: non-compliant afvoer → Bewijs: vernietigings- en verwerkingscertificaten.</w:t>
      </w:r>
    </w:p>
    <w:p>
      <w:pPr>
        <w:numPr>
          <w:ilvl w:val="0"/>
          <w:numId w:val="12"/>
        </w:numPr>
        <w:spacing w:lineRule="auto"/>
      </w:pPr>
      <w:r>
        <w:rPr/>
        <w:t xml:space="preserve">W-02 → 90% tickets remote; Risico: hoge reis-CO2 → Bewijs: ticket-rapporten met afhandelwijze.</w:t>
      </w:r>
    </w:p>
    <w:p>
      <w:pPr>
        <w:numPr>
          <w:ilvl w:val="0"/>
          <w:numId w:val="13"/>
        </w:numPr>
        <w:spacing w:lineRule="auto"/>
      </w:pPr>
      <w:r>
        <w:rPr/>
        <w:t xml:space="preserve">Risicobeheersing (20%) Wat goed eruitziet</w:t>
      </w:r>
    </w:p>
    <w:p>
      <w:pPr>
        <w:numPr>
          <w:ilvl w:val="0"/>
          <w:numId w:val="14"/>
        </w:numPr>
        <w:spacing w:lineRule="auto"/>
      </w:pPr>
      <w:r>
        <w:rPr/>
        <w:t xml:space="preserve">Volledig risicodossier met triggers, eigenaars en impact/waarschijnlijkheid.</w:t>
      </w:r>
    </w:p>
    <w:p>
      <w:pPr>
        <w:numPr>
          <w:ilvl w:val="0"/>
          <w:numId w:val="14"/>
        </w:numPr>
        <w:spacing w:lineRule="auto"/>
      </w:pPr>
      <w:r>
        <w:rPr/>
        <w:t xml:space="preserve">BCP/DR getest, aantoonbare RTO/RPO gehaald.</w:t>
      </w:r>
    </w:p>
    <w:p>
      <w:pPr>
        <w:numPr>
          <w:ilvl w:val="0"/>
          <w:numId w:val="14"/>
        </w:numPr>
        <w:spacing w:lineRule="auto"/>
      </w:pPr>
      <w:r>
        <w:rPr/>
        <w:t xml:space="preserve">SOC-gedreven detectie en containment met lage MTTD/MTTC.</w:t>
      </w:r>
    </w:p>
    <w:p>
      <w:pPr>
        <w:numPr>
          <w:ilvl w:val="0"/>
          <w:numId w:val="14"/>
        </w:numPr>
        <w:spacing w:lineRule="auto"/>
      </w:pPr>
      <w:r>
        <w:rPr/>
        <w:t xml:space="preserve">Leveranciers- en ketenrisico’s geadresseerd.</w:t>
      </w:r>
    </w:p>
    <w:p>
      <w:pPr>
        <w:spacing w:lineRule="auto"/>
      </w:pPr>
      <w:r>
        <w:rPr/>
        <w:t xml:space="preserve">Onze invulling (Plan-Do-Check-Act)</w:t>
      </w:r>
    </w:p>
    <w:p>
      <w:pPr>
        <w:numPr>
          <w:ilvl w:val="0"/>
          <w:numId w:val="15"/>
        </w:numPr>
        <w:spacing w:lineRule="auto"/>
      </w:pPr>
      <w:r>
        <w:rPr/>
        <w:t xml:space="preserve">Plan: W-07/W-08 risicoanalyse (technisch/operationeel); scenario’s; RTO ≤ 4 uur, RPO ≤ 15 min.</w:t>
      </w:r>
    </w:p>
    <w:p>
      <w:pPr>
        <w:numPr>
          <w:ilvl w:val="0"/>
          <w:numId w:val="15"/>
        </w:numPr>
        <w:spacing w:lineRule="auto"/>
      </w:pPr>
      <w:r>
        <w:rPr/>
        <w:t xml:space="preserve">Do: Playbooks (ransomware, DDoS, SaaS-outage); offsite/backups; network segmentation; just-in-time privileges.</w:t>
      </w:r>
    </w:p>
    <w:p>
      <w:pPr>
        <w:numPr>
          <w:ilvl w:val="0"/>
          <w:numId w:val="15"/>
        </w:numPr>
        <w:spacing w:lineRule="auto"/>
      </w:pPr>
      <w:r>
        <w:rPr/>
        <w:t xml:space="preserve">Check: Halfjaarlijkse DR-oefening; tabletop-crisis; postmortems 100% binnen 5 werkdagen.</w:t>
      </w:r>
    </w:p>
    <w:p>
      <w:pPr>
        <w:numPr>
          <w:ilvl w:val="0"/>
          <w:numId w:val="15"/>
        </w:numPr>
        <w:spacing w:lineRule="auto"/>
      </w:pPr>
      <w:r>
        <w:rPr/>
        <w:t xml:space="preserve">Act: Aanpassen controls, capacity en runbooks op basis van oefenresultaten en incidenttrends.</w:t>
      </w:r>
    </w:p>
    <w:p>
      <w:pPr>
        <w:spacing w:lineRule="auto"/>
      </w:pPr>
      <w:r>
        <w:rPr/>
        <w:t xml:space="preserve">Top 5 risico’s en maatregelen (SMART)</w:t>
      </w:r>
    </w:p>
    <w:p>
      <w:pPr>
        <w:numPr>
          <w:ilvl w:val="0"/>
          <w:numId w:val="16"/>
        </w:numPr>
        <w:spacing w:lineRule="auto"/>
      </w:pPr>
      <w:r>
        <w:rPr/>
        <w:t xml:space="preserve">R1 Ransomware: MTTD ≤ 15 min; MTTC ≤ 2 uur; 3-2-1 back-up; EDR op 100% endpoints; phishing-simulaties kwartaal.</w:t>
      </w:r>
    </w:p>
    <w:p>
      <w:pPr>
        <w:numPr>
          <w:ilvl w:val="0"/>
          <w:numId w:val="16"/>
        </w:numPr>
        <w:spacing w:lineRule="auto"/>
      </w:pPr>
      <w:r>
        <w:rPr/>
        <w:t xml:space="preserve">R2 Kritieke patch-gap: Kritieke patches ≤ 7 dagen; compliance ≥ 95%/14 dagen; non-compliant lijst &lt; 2%.</w:t>
      </w:r>
    </w:p>
    <w:p>
      <w:pPr>
        <w:numPr>
          <w:ilvl w:val="0"/>
          <w:numId w:val="16"/>
        </w:numPr>
        <w:spacing w:lineRule="auto"/>
      </w:pPr>
      <w:r>
        <w:rPr/>
        <w:t xml:space="preserve">R3 Leveranciersstoring (cloud): Failover playbook; alternatieve zone/region binnen EU; RTO ≤ 4 uur; kwartaal-failover-test.</w:t>
      </w:r>
    </w:p>
    <w:p>
      <w:pPr>
        <w:numPr>
          <w:ilvl w:val="0"/>
          <w:numId w:val="16"/>
        </w:numPr>
        <w:spacing w:lineRule="auto"/>
      </w:pPr>
      <w:r>
        <w:rPr/>
        <w:t xml:space="preserve">R4 Capaciteitspiek: Auto-scaling drempels; resource alerts (70/85/95%); capacity review maandelijks.</w:t>
      </w:r>
    </w:p>
    <w:p>
      <w:pPr>
        <w:numPr>
          <w:ilvl w:val="0"/>
          <w:numId w:val="16"/>
        </w:numPr>
        <w:spacing w:lineRule="auto"/>
      </w:pPr>
      <w:r>
        <w:rPr/>
        <w:t xml:space="preserve">R5 Menselijke fouten: Vier-ogenprincipe changes; pre-flight checks; change-failures &lt; 2%; verplichte rollbackscripts.</w:t>
      </w:r>
    </w:p>
    <w:p>
      <w:pPr>
        <w:spacing w:lineRule="auto"/>
      </w:pPr>
      <w:r>
        <w:rPr/>
        <w:t xml:space="preserve">Kruisverband W-xx ↔ KPI ↔ Risico ↔ Bewijs</w:t>
      </w:r>
    </w:p>
    <w:p>
      <w:pPr>
        <w:numPr>
          <w:ilvl w:val="0"/>
          <w:numId w:val="17"/>
        </w:numPr>
        <w:spacing w:lineRule="auto"/>
      </w:pPr>
      <w:r>
        <w:rPr/>
        <w:t xml:space="preserve">W-08 → MTTD ≤15m, MTTC ≤2h; R1 → Bewijs: SIEM/SOC-alerts, incident-tijdlijnen.</w:t>
      </w:r>
    </w:p>
    <w:p>
      <w:pPr>
        <w:numPr>
          <w:ilvl w:val="0"/>
          <w:numId w:val="17"/>
        </w:numPr>
        <w:spacing w:lineRule="auto"/>
      </w:pPr>
      <w:r>
        <w:rPr/>
        <w:t xml:space="preserve">W-07 → RTO/RPO gehaald; R3 → Bewijs: DR-testrapport, restore-logs.</w:t>
      </w:r>
    </w:p>
    <w:p>
      <w:pPr>
        <w:numPr>
          <w:ilvl w:val="0"/>
          <w:numId w:val="17"/>
        </w:numPr>
        <w:spacing w:lineRule="auto"/>
      </w:pPr>
      <w:r>
        <w:rPr/>
        <w:t xml:space="preserve">W-05 → Patch SLA’s; R2 → Bewijs: vulnerability scans, compliance-trends.</w:t>
      </w:r>
    </w:p>
    <w:p>
      <w:pPr>
        <w:numPr>
          <w:ilvl w:val="0"/>
          <w:numId w:val="17"/>
        </w:numPr>
        <w:spacing w:lineRule="auto"/>
      </w:pPr>
      <w:r>
        <w:rPr/>
        <w:t xml:space="preserve">W-04 → Change failure &lt;2%; R5 → Bewijs: CAB-notulen, test- en rollbackplannen.</w:t>
      </w:r>
    </w:p>
    <w:p>
      <w:pPr>
        <w:numPr>
          <w:ilvl w:val="0"/>
          <w:numId w:val="18"/>
        </w:numPr>
        <w:spacing w:lineRule="auto"/>
      </w:pPr>
      <w:r>
        <w:rPr/>
        <w:t xml:space="preserve">Prijs (20%) Wat goed eruitziet</w:t>
      </w:r>
    </w:p>
    <w:p>
      <w:pPr>
        <w:numPr>
          <w:ilvl w:val="0"/>
          <w:numId w:val="19"/>
        </w:numPr>
        <w:spacing w:lineRule="auto"/>
      </w:pPr>
      <w:r>
        <w:rPr/>
        <w:t xml:space="preserve">Transparant prijsblad met all-in beheerfee per device/workload, duidelijke grenzen en indexatie (CPI).</w:t>
      </w:r>
    </w:p>
    <w:p>
      <w:pPr>
        <w:numPr>
          <w:ilvl w:val="0"/>
          <w:numId w:val="19"/>
        </w:numPr>
        <w:spacing w:lineRule="auto"/>
      </w:pPr>
      <w:r>
        <w:rPr/>
        <w:t xml:space="preserve">Meetbare besparingen door automatisering en GreenOps met kwartaalrealisatie.</w:t>
      </w:r>
    </w:p>
    <w:p>
      <w:pPr>
        <w:numPr>
          <w:ilvl w:val="0"/>
          <w:numId w:val="19"/>
        </w:numPr>
        <w:spacing w:lineRule="auto"/>
      </w:pPr>
      <w:r>
        <w:rPr/>
        <w:t xml:space="preserve">TCO-inzicht: run- en changekosten, zonder verborgen posten.</w:t>
      </w:r>
    </w:p>
    <w:p>
      <w:pPr>
        <w:spacing w:lineRule="auto"/>
      </w:pPr>
      <w:r>
        <w:rPr/>
        <w:t xml:space="preserve">Onze invulling (Plan-Do-Check-Act)</w:t>
      </w:r>
    </w:p>
    <w:p>
      <w:pPr>
        <w:numPr>
          <w:ilvl w:val="0"/>
          <w:numId w:val="20"/>
        </w:numPr>
        <w:spacing w:lineRule="auto"/>
      </w:pPr>
      <w:r>
        <w:rPr/>
        <w:t xml:space="preserve">Plan: Baseline TCO; kosten per workload/device; besparingshypothesen (automatisering, right-sizing).</w:t>
      </w:r>
    </w:p>
    <w:p>
      <w:pPr>
        <w:numPr>
          <w:ilvl w:val="0"/>
          <w:numId w:val="20"/>
        </w:numPr>
        <w:spacing w:lineRule="auto"/>
      </w:pPr>
      <w:r>
        <w:rPr/>
        <w:t xml:space="preserve">Do: Implementatie van automatisering (self-heal, scripting), GreenOps-maatregelen, licentie-optimalisatie.</w:t>
      </w:r>
    </w:p>
    <w:p>
      <w:pPr>
        <w:numPr>
          <w:ilvl w:val="0"/>
          <w:numId w:val="20"/>
        </w:numPr>
        <w:spacing w:lineRule="auto"/>
      </w:pPr>
      <w:r>
        <w:rPr/>
        <w:t xml:space="preserve">Check: W-10 kwartaal TCO-rapport met gerealiseerde besparingen, afwijkingsanalyse.</w:t>
      </w:r>
    </w:p>
    <w:p>
      <w:pPr>
        <w:numPr>
          <w:ilvl w:val="0"/>
          <w:numId w:val="20"/>
        </w:numPr>
        <w:spacing w:lineRule="auto"/>
      </w:pPr>
      <w:r>
        <w:rPr/>
        <w:t xml:space="preserve">Act: Herprioriteren maatregelen met hoogste ROI; heronderhandeling leveranciers (W-11).</w:t>
      </w:r>
    </w:p>
    <w:p>
      <w:pPr>
        <w:spacing w:lineRule="auto"/>
      </w:pPr>
      <w:r>
        <w:rPr/>
        <w:t xml:space="preserve">Kruisverband W-xx ↔ KPI ↔ Risico ↔ Bewijs</w:t>
      </w:r>
    </w:p>
    <w:p>
      <w:pPr>
        <w:numPr>
          <w:ilvl w:val="0"/>
          <w:numId w:val="21"/>
        </w:numPr>
        <w:spacing w:lineRule="auto"/>
      </w:pPr>
      <w:r>
        <w:rPr/>
        <w:t xml:space="preserve">W-12 → ≥10% TCO-besparing jaar 1; Risico: kostenoverschrijding → Bewijs: voor-na cost dashboards.</w:t>
      </w:r>
    </w:p>
    <w:p>
      <w:pPr>
        <w:numPr>
          <w:ilvl w:val="0"/>
          <w:numId w:val="21"/>
        </w:numPr>
        <w:spacing w:lineRule="auto"/>
      </w:pPr>
      <w:r>
        <w:rPr/>
        <w:t xml:space="preserve">W-10 → Betrouwbare rapportage; Risico: gebrek aan transparantie → Bewijs: TCO-rapport, audittrail.</w:t>
      </w:r>
    </w:p>
    <w:p>
      <w:pPr>
        <w:numPr>
          <w:ilvl w:val="0"/>
          <w:numId w:val="21"/>
        </w:numPr>
        <w:spacing w:lineRule="auto"/>
      </w:pPr>
      <w:r>
        <w:rPr/>
        <w:t xml:space="preserve">W-11 → Leverancierscondities → Bewijs: contractaddenda, prijslijsten.</w:t>
      </w:r>
    </w:p>
    <w:p>
      <w:pPr>
        <w:spacing w:lineRule="auto"/>
      </w:pPr>
      <w:r>
        <w:rPr/>
        <w:t xml:space="preserve">Specifieke aansluiting op eisen</w:t>
      </w:r>
    </w:p>
    <w:p>
      <w:pPr>
        <w:numPr>
          <w:ilvl w:val="0"/>
          <w:numId w:val="22"/>
        </w:numPr>
        <w:spacing w:lineRule="auto"/>
      </w:pPr>
      <w:r>
        <w:rPr/>
        <w:t xml:space="preserve">KO: ISO 27001 en ISO 9001: geborgd via integraal ISMS en QMS; certificaten beschikbaar op verzoek.</w:t>
      </w:r>
    </w:p>
    <w:p>
      <w:pPr>
        <w:numPr>
          <w:ilvl w:val="0"/>
          <w:numId w:val="22"/>
        </w:numPr>
        <w:spacing w:lineRule="auto"/>
      </w:pPr>
      <w:r>
        <w:rPr/>
        <w:t xml:space="preserve">24/7 bereikbaarheidsdienst: NOC/servicedesk met duty officer en escalatieladder.</w:t>
      </w:r>
    </w:p>
    <w:p>
      <w:pPr>
        <w:numPr>
          <w:ilvl w:val="0"/>
          <w:numId w:val="22"/>
        </w:numPr>
        <w:spacing w:lineRule="auto"/>
      </w:pPr>
      <w:r>
        <w:rPr/>
        <w:t xml:space="preserve">Musts:</w:t>
      </w:r>
    </w:p>
    <w:p>
      <w:pPr>
        <w:numPr>
          <w:ilvl w:val="1"/>
          <w:numId w:val="23"/>
        </w:numPr>
        <w:spacing w:lineRule="auto"/>
      </w:pPr>
      <w:r>
        <w:rPr/>
        <w:t xml:space="preserve">P1 responstijd ≤ 30 min; P1 oplostijd ≤ 4 uur: gewaarborgd via major incident runbook en war room.</w:t>
      </w:r>
    </w:p>
    <w:p>
      <w:pPr>
        <w:numPr>
          <w:ilvl w:val="1"/>
          <w:numId w:val="23"/>
        </w:numPr>
        <w:spacing w:lineRule="auto"/>
      </w:pPr>
      <w:r>
        <w:rPr/>
        <w:t xml:space="preserve">Beschikbaarheid ≥ 99,8% per maand: redundantie, continue monitoring, change-vensters buiten piekuren.</w:t>
      </w:r>
    </w:p>
    <w:p>
      <w:pPr>
        <w:numPr>
          <w:ilvl w:val="1"/>
          <w:numId w:val="23"/>
        </w:numPr>
        <w:spacing w:lineRule="auto"/>
      </w:pPr>
      <w:r>
        <w:rPr/>
        <w:t xml:space="preserve">Monitoring &amp; patchmanagement: agent-based en agentless; vensters afgesproken per service; kritieke patches ≤ 7 dagen.</w:t>
      </w:r>
    </w:p>
    <w:p>
      <w:pPr>
        <w:numPr>
          <w:ilvl w:val="1"/>
          <w:numId w:val="23"/>
        </w:numPr>
        <w:spacing w:lineRule="auto"/>
      </w:pPr>
      <w:r>
        <w:rPr/>
        <w:t xml:space="preserve">ITIL-servicedeskprocessen: incident, request, problem, change, knowledge, CMDB.</w:t>
      </w:r>
    </w:p>
    <w:p>
      <w:pPr>
        <w:numPr>
          <w:ilvl w:val="1"/>
          <w:numId w:val="23"/>
        </w:numPr>
        <w:spacing w:lineRule="auto"/>
      </w:pPr>
      <w:r>
        <w:rPr/>
        <w:t xml:space="preserve">EU-dataverwerking: data en back-ups binnen EU; data processing annex en subprocessorlijst (W-11).</w:t>
      </w:r>
    </w:p>
    <w:p>
      <w:pPr>
        <w:numPr>
          <w:ilvl w:val="1"/>
          <w:numId w:val="23"/>
        </w:numPr>
        <w:spacing w:lineRule="auto"/>
      </w:pPr>
      <w:r>
        <w:rPr/>
        <w:t xml:space="preserve">Escalatieprocedure: 4-lagen escalatie tot directie; communicatie binnen 30 min bij major incident.</w:t>
      </w:r>
    </w:p>
    <w:p>
      <w:pPr>
        <w:numPr>
          <w:ilvl w:val="1"/>
          <w:numId w:val="23"/>
        </w:numPr>
        <w:spacing w:lineRule="auto"/>
      </w:pPr>
      <w:r>
        <w:rPr/>
        <w:t xml:space="preserve">Continuïteitsplan (BCP): jaarlijks geactualiseerd; DR halfjaarlijks getest.</w:t>
      </w:r>
    </w:p>
    <w:p>
      <w:pPr>
        <w:numPr>
          <w:ilvl w:val="1"/>
          <w:numId w:val="23"/>
        </w:numPr>
        <w:spacing w:lineRule="auto"/>
      </w:pPr>
      <w:r>
        <w:rPr/>
        <w:t xml:space="preserve">VOG: personeel met VOG waar vereist; toegangsbeheer HR-geborgd.</w:t>
      </w:r>
    </w:p>
    <w:p>
      <w:pPr>
        <w:numPr>
          <w:ilvl w:val="1"/>
          <w:numId w:val="23"/>
        </w:numPr>
        <w:spacing w:lineRule="auto"/>
      </w:pPr>
      <w:r>
        <w:rPr/>
        <w:t xml:space="preserve">Proactieve monitoring netwerk &amp; endpoints: NDR/EDR met auto-containment.</w:t>
      </w:r>
    </w:p>
    <w:p>
      <w:pPr>
        <w:numPr>
          <w:ilvl w:val="1"/>
          <w:numId w:val="23"/>
        </w:numPr>
        <w:spacing w:lineRule="auto"/>
      </w:pPr>
      <w:r>
        <w:rPr/>
        <w:t xml:space="preserve">M365-ondersteuning: Exchange, Teams, SharePoint, Intune, Defender; conditional access en hardening baselines.</w:t>
      </w:r>
    </w:p>
    <w:p>
      <w:pPr>
        <w:spacing w:lineRule="auto"/>
      </w:pPr>
      <w:r>
        <w:rPr/>
        <w:t xml:space="preserve">KPI-overzicht (selectie, SMART)</w:t>
      </w:r>
    </w:p>
    <w:p>
      <w:pPr>
        <w:numPr>
          <w:ilvl w:val="0"/>
          <w:numId w:val="24"/>
        </w:numPr>
        <w:spacing w:lineRule="auto"/>
      </w:pPr>
      <w:r>
        <w:rPr/>
        <w:t xml:space="preserve">Beschikbaarheid kritieke systemen: ≥ 99,8%/maand (exclusief geplande downtime).</w:t>
      </w:r>
    </w:p>
    <w:p>
      <w:pPr>
        <w:numPr>
          <w:ilvl w:val="0"/>
          <w:numId w:val="24"/>
        </w:numPr>
        <w:spacing w:lineRule="auto"/>
      </w:pPr>
      <w:r>
        <w:rPr/>
        <w:t xml:space="preserve">P1-responstijd: mediane tijd &lt; 30 min; P1-oplostijd: mediane tijd &lt; 4 uur.</w:t>
      </w:r>
    </w:p>
    <w:p>
      <w:pPr>
        <w:numPr>
          <w:ilvl w:val="0"/>
          <w:numId w:val="24"/>
        </w:numPr>
        <w:spacing w:lineRule="auto"/>
      </w:pPr>
      <w:r>
        <w:rPr/>
        <w:t xml:space="preserve">First Contact Resolution: ≥ 70% per maand.</w:t>
      </w:r>
    </w:p>
    <w:p>
      <w:pPr>
        <w:numPr>
          <w:ilvl w:val="0"/>
          <w:numId w:val="24"/>
        </w:numPr>
        <w:spacing w:lineRule="auto"/>
      </w:pPr>
      <w:r>
        <w:rPr/>
        <w:t xml:space="preserve">CSAT: ≥ 8,2/10 met responsratio ≥ 30%.</w:t>
      </w:r>
    </w:p>
    <w:p>
      <w:pPr>
        <w:numPr>
          <w:ilvl w:val="0"/>
          <w:numId w:val="24"/>
        </w:numPr>
        <w:spacing w:lineRule="auto"/>
      </w:pPr>
      <w:r>
        <w:rPr/>
        <w:t xml:space="preserve">Patch compliance: ≥ 95% binnen 14 dagen; kritieke ≤ 7 dagen (servers en endpoints).</w:t>
      </w:r>
    </w:p>
    <w:p>
      <w:pPr>
        <w:numPr>
          <w:ilvl w:val="0"/>
          <w:numId w:val="24"/>
        </w:numPr>
        <w:spacing w:lineRule="auto"/>
      </w:pPr>
      <w:r>
        <w:rPr/>
        <w:t xml:space="preserve">Change success rate: ≥ 98% per maand.</w:t>
      </w:r>
    </w:p>
    <w:p>
      <w:pPr>
        <w:numPr>
          <w:ilvl w:val="0"/>
          <w:numId w:val="24"/>
        </w:numPr>
        <w:spacing w:lineRule="auto"/>
      </w:pPr>
      <w:r>
        <w:rPr/>
        <w:t xml:space="preserve">MTTD: ≤ 15 min; MTTC: ≤ 2 uur.</w:t>
      </w:r>
    </w:p>
    <w:p>
      <w:pPr>
        <w:numPr>
          <w:ilvl w:val="0"/>
          <w:numId w:val="24"/>
        </w:numPr>
        <w:spacing w:lineRule="auto"/>
      </w:pPr>
      <w:r>
        <w:rPr/>
        <w:t xml:space="preserve">Back-up succesratio: ≥ 99,5%; hersteltests: 100% succesvol per kwartaal.</w:t>
      </w:r>
    </w:p>
    <w:p>
      <w:pPr>
        <w:numPr>
          <w:ilvl w:val="0"/>
          <w:numId w:val="24"/>
        </w:numPr>
        <w:spacing w:lineRule="auto"/>
      </w:pPr>
      <w:r>
        <w:rPr/>
        <w:t xml:space="preserve">DR: RTO ≤ 4 uur; RPO ≤ 15 min; 2 tests/jaar.</w:t>
      </w:r>
    </w:p>
    <w:p>
      <w:pPr>
        <w:numPr>
          <w:ilvl w:val="0"/>
          <w:numId w:val="24"/>
        </w:numPr>
        <w:spacing w:lineRule="auto"/>
      </w:pPr>
      <w:r>
        <w:rPr/>
        <w:t xml:space="preserve">Duurzaamheid: -15% kWh/werkload in jaar 1; -30% in 36 maanden; 90% remote afhandeling; 100% e-waste gecertificeerd.</w:t>
      </w:r>
    </w:p>
    <w:p>
      <w:pPr>
        <w:spacing w:lineRule="auto"/>
      </w:pPr>
      <w:r>
        <w:rPr/>
        <w:t xml:space="preserve">Bewijsvoering (niet-limitatief)</w:t>
      </w:r>
    </w:p>
    <w:p>
      <w:pPr>
        <w:numPr>
          <w:ilvl w:val="0"/>
          <w:numId w:val="25"/>
        </w:numPr>
        <w:spacing w:lineRule="auto"/>
      </w:pPr>
      <w:r>
        <w:rPr/>
        <w:t xml:space="preserve">Certificaten ISO 27001 en ISO 9001; audit-samenvattingen.</w:t>
      </w:r>
    </w:p>
    <w:p>
      <w:pPr>
        <w:numPr>
          <w:ilvl w:val="0"/>
          <w:numId w:val="25"/>
        </w:numPr>
        <w:spacing w:lineRule="auto"/>
      </w:pPr>
      <w:r>
        <w:rPr/>
        <w:t xml:space="preserve">Maandelijkse SLA/KPI-rapportages; CMDB-exports; changelog en CAB-notulen.</w:t>
      </w:r>
    </w:p>
    <w:p>
      <w:pPr>
        <w:numPr>
          <w:ilvl w:val="0"/>
          <w:numId w:val="25"/>
        </w:numPr>
        <w:spacing w:lineRule="auto"/>
      </w:pPr>
      <w:r>
        <w:rPr/>
        <w:t xml:space="preserve">SIEM/SOC-alerts en postmortems; DR-testverslagen; back-up/restore logs.</w:t>
      </w:r>
    </w:p>
    <w:p>
      <w:pPr>
        <w:numPr>
          <w:ilvl w:val="0"/>
          <w:numId w:val="25"/>
        </w:numPr>
        <w:spacing w:lineRule="auto"/>
      </w:pPr>
      <w:r>
        <w:rPr/>
        <w:t xml:space="preserve">GreenOps-rapporten; energieverbruiksdashboards; e-waste afvoercertificaten.</w:t>
      </w:r>
    </w:p>
    <w:p>
      <w:pPr>
        <w:numPr>
          <w:ilvl w:val="0"/>
          <w:numId w:val="25"/>
        </w:numPr>
        <w:spacing w:lineRule="auto"/>
      </w:pPr>
      <w:r>
        <w:rPr/>
        <w:t xml:space="preserve">TCO-rapportage en besparingsrealisatie; leverancierscontracten en indexatieclausules.</w:t>
      </w:r>
    </w:p>
    <w:p>
      <w:pPr>
        <w:spacing w:lineRule="auto"/>
      </w:pPr>
      <w:r>
        <w:rPr/>
        <w:t xml:space="preserve">PDCA-borging op contractniveau</w:t>
      </w:r>
    </w:p>
    <w:p>
      <w:pPr>
        <w:numPr>
          <w:ilvl w:val="0"/>
          <w:numId w:val="26"/>
        </w:numPr>
        <w:spacing w:lineRule="auto"/>
      </w:pPr>
      <w:r>
        <w:rPr/>
        <w:t xml:space="preserve">Plan: Plan van Aanpak (inclusief transitieplan, risicodossier, KPI-matrix) binnen 10 werkdagen na gunning; baseline binnen 30 dagen.</w:t>
      </w:r>
    </w:p>
    <w:p>
      <w:pPr>
        <w:numPr>
          <w:ilvl w:val="0"/>
          <w:numId w:val="26"/>
        </w:numPr>
        <w:spacing w:lineRule="auto"/>
      </w:pPr>
      <w:r>
        <w:rPr/>
        <w:t xml:space="preserve">Do: Operationeel gaan binnen 6 weken na gunning met parallelle hypercare van 4 weken.</w:t>
      </w:r>
    </w:p>
    <w:p>
      <w:pPr>
        <w:numPr>
          <w:ilvl w:val="0"/>
          <w:numId w:val="26"/>
        </w:numPr>
        <w:spacing w:lineRule="auto"/>
      </w:pPr>
      <w:r>
        <w:rPr/>
        <w:t xml:space="preserve">Check: Maandrapportages; kwartaal service reviews; halfjaarlijkse management review (ISO 9001/27001).</w:t>
      </w:r>
    </w:p>
    <w:p>
      <w:pPr>
        <w:numPr>
          <w:ilvl w:val="0"/>
          <w:numId w:val="26"/>
        </w:numPr>
        <w:spacing w:lineRule="auto"/>
      </w:pPr>
      <w:r>
        <w:rPr/>
        <w:t xml:space="preserve">Act: Verbeterbacklog met termijnen en eigenaren; jaarlijkse roadmap-update; lessons learned implementeren binnen 30 dagen.</w:t>
      </w:r>
    </w:p>
    <w:p>
      <w:pPr>
        <w:spacing w:lineRule="auto"/>
      </w:pPr>
      <w:r>
        <w:rPr/>
        <w:t xml:space="preserve">Risicodossier en SLA-afspraken: koppeling</w:t>
      </w:r>
    </w:p>
    <w:p>
      <w:pPr>
        <w:numPr>
          <w:ilvl w:val="0"/>
          <w:numId w:val="27"/>
        </w:numPr>
        <w:spacing w:lineRule="auto"/>
      </w:pPr>
      <w:r>
        <w:rPr/>
        <w:t xml:space="preserve">Ransomware (R1) ↔ MTTD/MTTC ↔ W-08 ↔ SOC-logs/postmortems.</w:t>
      </w:r>
    </w:p>
    <w:p>
      <w:pPr>
        <w:numPr>
          <w:ilvl w:val="0"/>
          <w:numId w:val="27"/>
        </w:numPr>
        <w:spacing w:lineRule="auto"/>
      </w:pPr>
      <w:r>
        <w:rPr/>
        <w:t xml:space="preserve">Patchexposure (R2) ↔ Patch compliance ↔ W-05 ↔ Vulnerability-rapporten.</w:t>
      </w:r>
    </w:p>
    <w:p>
      <w:pPr>
        <w:numPr>
          <w:ilvl w:val="0"/>
          <w:numId w:val="27"/>
        </w:numPr>
        <w:spacing w:lineRule="auto"/>
      </w:pPr>
      <w:r>
        <w:rPr/>
        <w:t xml:space="preserve">Ketenstoring (R3) ↔ RTO/RPO ↔ W-07/W-11 ↔ DR-testrapporten/leveranciers-SLA’s.</w:t>
      </w:r>
    </w:p>
    <w:p>
      <w:pPr>
        <w:numPr>
          <w:ilvl w:val="0"/>
          <w:numId w:val="27"/>
        </w:numPr>
        <w:spacing w:lineRule="auto"/>
      </w:pPr>
      <w:r>
        <w:rPr/>
        <w:t xml:space="preserve">Capaciteit (R4) ↔ Avail 99,8% ↔ W-02 ↔ Capacity-trends/alerts.</w:t>
      </w:r>
    </w:p>
    <w:p>
      <w:pPr>
        <w:numPr>
          <w:ilvl w:val="0"/>
          <w:numId w:val="27"/>
        </w:numPr>
        <w:spacing w:lineRule="auto"/>
      </w:pPr>
      <w:r>
        <w:rPr/>
        <w:t xml:space="preserve">Human error (R5) ↔ Change success ↔ W-04 ↔ CAB/QA-dossiers.</w:t>
      </w:r>
    </w:p>
    <w:p>
      <w:pPr>
        <w:spacing w:lineRule="auto"/>
      </w:pPr>
      <w:r>
        <w:rPr/>
        <w:t xml:space="preserve">Onze invulling per W-xx (samengevat)</w:t>
      </w:r>
    </w:p>
    <w:p>
      <w:pPr>
        <w:numPr>
          <w:ilvl w:val="0"/>
          <w:numId w:val="28"/>
        </w:numPr>
        <w:spacing w:lineRule="auto"/>
      </w:pPr>
      <w:r>
        <w:rPr/>
        <w:t xml:space="preserve">W-01: Intake, CMDB, runbooks, transitie in 6 weken, hypercare 4 weken.</w:t>
      </w:r>
    </w:p>
    <w:p>
      <w:pPr>
        <w:numPr>
          <w:ilvl w:val="0"/>
          <w:numId w:val="28"/>
        </w:numPr>
        <w:spacing w:lineRule="auto"/>
      </w:pPr>
      <w:r>
        <w:rPr/>
        <w:t xml:space="preserve">W-02: 24/7 monitoring, use-case gebaseerde alerts, auto-escalatie.</w:t>
      </w:r>
    </w:p>
    <w:p>
      <w:pPr>
        <w:numPr>
          <w:ilvl w:val="0"/>
          <w:numId w:val="28"/>
        </w:numPr>
        <w:spacing w:lineRule="auto"/>
      </w:pPr>
      <w:r>
        <w:rPr/>
        <w:t xml:space="preserve">W-03: Major incident war room, communicatie in 30 min, debrief binnen 5 werkdagen.</w:t>
      </w:r>
    </w:p>
    <w:p>
      <w:pPr>
        <w:numPr>
          <w:ilvl w:val="0"/>
          <w:numId w:val="28"/>
        </w:numPr>
        <w:spacing w:lineRule="auto"/>
      </w:pPr>
      <w:r>
        <w:rPr/>
        <w:t xml:space="preserve">W-04: CAB, risicogebaseerde releases, blue/green waar mogelijk.</w:t>
      </w:r>
    </w:p>
    <w:p>
      <w:pPr>
        <w:numPr>
          <w:ilvl w:val="0"/>
          <w:numId w:val="28"/>
        </w:numPr>
        <w:spacing w:lineRule="auto"/>
      </w:pPr>
      <w:r>
        <w:rPr/>
        <w:t xml:space="preserve">W-05: Patching-vensters, maintenance kalender, compliance-dashboards.</w:t>
      </w:r>
    </w:p>
    <w:p>
      <w:pPr>
        <w:numPr>
          <w:ilvl w:val="0"/>
          <w:numId w:val="28"/>
        </w:numPr>
        <w:spacing w:lineRule="auto"/>
      </w:pPr>
      <w:r>
        <w:rPr/>
        <w:t xml:space="preserve">W-06: CMDB met CI-relaties en lifecycle; maandelijks geverifieerd.</w:t>
      </w:r>
    </w:p>
    <w:p>
      <w:pPr>
        <w:numPr>
          <w:ilvl w:val="0"/>
          <w:numId w:val="28"/>
        </w:numPr>
        <w:spacing w:lineRule="auto"/>
      </w:pPr>
      <w:r>
        <w:rPr/>
        <w:t xml:space="preserve">W-07: BCP/DR, 3-2-1 back-up, halfjaarlijkse oefening, RTO/RPO aantoonbaar.</w:t>
      </w:r>
    </w:p>
    <w:p>
      <w:pPr>
        <w:numPr>
          <w:ilvl w:val="0"/>
          <w:numId w:val="28"/>
        </w:numPr>
        <w:spacing w:lineRule="auto"/>
      </w:pPr>
      <w:r>
        <w:rPr/>
        <w:t xml:space="preserve">W-08: SIEM/EDR, IOC-feeds, playbooks (ransomware, DDoS, account-takeover).</w:t>
      </w:r>
    </w:p>
    <w:p>
      <w:pPr>
        <w:numPr>
          <w:ilvl w:val="0"/>
          <w:numId w:val="28"/>
        </w:numPr>
        <w:spacing w:lineRule="auto"/>
      </w:pPr>
      <w:r>
        <w:rPr/>
        <w:t xml:space="preserve">W-09: ITIL4-servicedesk, kennisbank, selfserviceportaal, CSAT.</w:t>
      </w:r>
    </w:p>
    <w:p>
      <w:pPr>
        <w:numPr>
          <w:ilvl w:val="0"/>
          <w:numId w:val="28"/>
        </w:numPr>
        <w:spacing w:lineRule="auto"/>
      </w:pPr>
      <w:r>
        <w:rPr/>
        <w:t xml:space="preserve">W-10: KPI-rapportages, PDCA boards, verbeterbacklog.</w:t>
      </w:r>
    </w:p>
    <w:p>
      <w:pPr>
        <w:numPr>
          <w:ilvl w:val="0"/>
          <w:numId w:val="28"/>
        </w:numPr>
        <w:spacing w:lineRule="auto"/>
      </w:pPr>
      <w:r>
        <w:rPr/>
        <w:t xml:space="preserve">W-11: Contract- en leveranciersmanagement, DPIA/DPA, EU-datalocatie.</w:t>
      </w:r>
    </w:p>
    <w:p>
      <w:pPr>
        <w:numPr>
          <w:ilvl w:val="0"/>
          <w:numId w:val="28"/>
        </w:numPr>
        <w:spacing w:lineRule="auto"/>
      </w:pPr>
      <w:r>
        <w:rPr/>
        <w:t xml:space="preserve">W-12: GreenOps, e-waste, remote-first werkwijze, CO2e-rapportage.</w:t>
      </w:r>
    </w:p>
    <w:p>
      <w:pPr>
        <w:spacing w:lineRule="auto"/>
      </w:pPr>
      <w:r>
        <w:rPr/>
        <w:t xml:space="preserve">Financiële transparantie en TCO-sturing</w:t>
      </w:r>
    </w:p>
    <w:p>
      <w:pPr>
        <w:numPr>
          <w:ilvl w:val="0"/>
          <w:numId w:val="29"/>
        </w:numPr>
        <w:spacing w:lineRule="auto"/>
      </w:pPr>
      <w:r>
        <w:rPr/>
        <w:t xml:space="preserve">Prijsstructuur: all-in maandfee per device/workload, duidelijke overurenregeling en change-tarieven.</w:t>
      </w:r>
    </w:p>
    <w:p>
      <w:pPr>
        <w:numPr>
          <w:ilvl w:val="0"/>
          <w:numId w:val="29"/>
        </w:numPr>
        <w:spacing w:lineRule="auto"/>
      </w:pPr>
      <w:r>
        <w:rPr/>
        <w:t xml:space="preserve">Indexatie: jaarlijkse CPI; geen additionele toeslagen buiten overeengekomen scope.</w:t>
      </w:r>
    </w:p>
    <w:p>
      <w:pPr>
        <w:numPr>
          <w:ilvl w:val="0"/>
          <w:numId w:val="29"/>
        </w:numPr>
        <w:spacing w:lineRule="auto"/>
      </w:pPr>
      <w:r>
        <w:rPr/>
        <w:t xml:space="preserve">Besparingsmechanismen: automatisering (self-heal), licentie-optimalisatie, right-sizing; kwartaalrealisatie in euro’s en kWh.</w:t>
      </w:r>
    </w:p>
    <w:p>
      <w:pPr>
        <w:spacing w:lineRule="auto"/>
      </w:pPr>
      <w:r>
        <w:rPr/>
        <w:t xml:space="preserve">Conclusie Deze beoordelingsmethodiek biedt een SMART en PDCA-geborgde uitwerking van Kwaliteit, Duurzaamheid, Risicobeheersing en Prijs, direct gekoppeld aan W-xx werkpakketten, KPI’s, risico’s en bewijsvoering. Hiermee minimaliseren we verstoringen, versnellen we herstel, reduceren we TCO en CO2e, en leveren we aantoonbare meerwaarde bovenop de minimale eisen en SLA’s.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Beoordelingsmethodiek (EMVI/BPKV)</dc:title>
  <dc:subject/>
  <dc:creator>html-to-docx</dc:creator>
  <cp:keywords>html-to-docx</cp:keywords>
  <dc:description/>
  <cp:lastModifiedBy>html-to-docx</cp:lastModifiedBy>
  <cp:revision>1</cp:revision>
  <dcterms:created xsi:type="dcterms:W3CDTF">2025-11-26T07:18:14.781Z</dcterms:created>
  <dcterms:modified xsi:type="dcterms:W3CDTF">2025-11-26T07:18:14.781Z</dcterms:modified>
</cp:coreProperties>
</file>