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Bewijsstukkenbundel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26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Bewijsstukken — Raamovereenkomst Catering- en Horecadiensten voor Gemeente Middenstad (Project 1380) Inzender: Uno Automatiseringdiensten B.V. (KvK 27172538, btw NL8070.79.266.B01), Einsteinlaan 14, 2719 ER Zoetermeer.</w:t>
      </w:r>
    </w:p>
    <w:p>
      <w:pPr>
        <w:spacing w:lineRule="auto"/>
      </w:pPr>
      <w:r>
        <w:rPr/>
        <w:t xml:space="preserve">Doel en reikwijdte Deze bewijsstukkenbundel onderbouwt de KO- en REQ-eisen, SLA-doelstellingen en EMVI-criteria (Kwaliteit, Duurzaamheid, Risicobeheersing, Prijs) met verifieerbare documenten. De set is SMART en PDCA-gefaseerd: Plan (beleid/ontwerp), Do (uitvoering), Check (meting/rapportage), Act (verbetering).</w:t>
      </w:r>
    </w:p>
    <w:p>
      <w:pPr>
        <w:spacing w:lineRule="auto"/>
      </w:pPr>
      <w:r>
        <w:rPr/>
        <w:t xml:space="preserve">PDCA-kern</w:t>
      </w:r>
    </w:p>
    <w:p>
      <w:pPr>
        <w:numPr>
          <w:ilvl w:val="0"/>
          <w:numId w:val="1"/>
        </w:numPr>
        <w:spacing w:lineRule="auto"/>
      </w:pPr>
      <w:r>
        <w:rPr/>
        <w:t xml:space="preserve">Plan: Plan van Aanpak (B1), Risicodossier (B2), BCP (A7), EU-dataverwerking (A6), ITIL-proceshandboek (A4), Patchbeleid (A9).</w:t>
      </w:r>
    </w:p>
    <w:p>
      <w:pPr>
        <w:numPr>
          <w:ilvl w:val="0"/>
          <w:numId w:val="1"/>
        </w:numPr>
        <w:spacing w:lineRule="auto"/>
      </w:pPr>
      <w:r>
        <w:rPr/>
        <w:t xml:space="preserve">Do: 24/7 bereikbaarheidsdienst (A3), Proactieve monitoring (A8), Microsoft 365-ondersteuning (A13), Escalatieprocedure (A5).</w:t>
      </w:r>
    </w:p>
    <w:p>
      <w:pPr>
        <w:numPr>
          <w:ilvl w:val="0"/>
          <w:numId w:val="1"/>
        </w:numPr>
        <w:spacing w:lineRule="auto"/>
      </w:pPr>
      <w:r>
        <w:rPr/>
        <w:t xml:space="preserve">Check: SLA-rapportage en KPI-dashboards (B3), ISO-auditrapporten en certificaten (A1, A2), Change- en incidentreviews (A4 §4–5).</w:t>
      </w:r>
    </w:p>
    <w:p>
      <w:pPr>
        <w:numPr>
          <w:ilvl w:val="0"/>
          <w:numId w:val="1"/>
        </w:numPr>
        <w:spacing w:lineRule="auto"/>
      </w:pPr>
      <w:r>
        <w:rPr/>
        <w:t xml:space="preserve">Act: Verbeterregister &amp; Management Review (A14), Problem Management trendanalyse (A4 §6), BCP-oefenrapport (A7 §5).</w:t>
      </w:r>
    </w:p>
    <w:p>
      <w:pPr>
        <w:spacing w:lineRule="auto"/>
      </w:pPr>
      <w:r>
        <w:rPr/>
        <w:t xml:space="preserve">Kruisverband W-xx ↔ KPI ↔ Risico ↔ Bewijs (selectie)</w:t>
      </w:r>
    </w:p>
    <w:p>
      <w:pPr>
        <w:numPr>
          <w:ilvl w:val="0"/>
          <w:numId w:val="2"/>
        </w:numPr>
        <w:spacing w:lineRule="auto"/>
      </w:pPr>
      <w:r>
        <w:rPr/>
        <w:t xml:space="preserve">W-01 24/7 bereikbaarheidsdienst</w:t>
      </w:r>
    </w:p>
    <w:p>
      <w:pPr>
        <w:numPr>
          <w:ilvl w:val="1"/>
          <w:numId w:val="3"/>
        </w:numPr>
        <w:spacing w:lineRule="auto"/>
      </w:pPr>
      <w:r>
        <w:rPr/>
        <w:t xml:space="preserve">KPI: P1 responstijd &lt; 30 min (SLA-2).</w:t>
      </w:r>
    </w:p>
    <w:p>
      <w:pPr>
        <w:numPr>
          <w:ilvl w:val="1"/>
          <w:numId w:val="3"/>
        </w:numPr>
        <w:spacing w:lineRule="auto"/>
      </w:pPr>
      <w:r>
        <w:rPr/>
        <w:t xml:space="preserve">Risico: Onbeschikbaarheid buiten kantooruren → escalaties en continuïteitsverlies.</w:t>
      </w:r>
    </w:p>
    <w:p>
      <w:pPr>
        <w:numPr>
          <w:ilvl w:val="1"/>
          <w:numId w:val="3"/>
        </w:numPr>
        <w:spacing w:lineRule="auto"/>
      </w:pPr>
      <w:r>
        <w:rPr/>
        <w:t xml:space="preserve">Bewijs: A3 Piketrooster &amp; bereikbaarheidsplan (p. 2–6); B3 KPI-rapport april 2025 (p. 3).</w:t>
      </w:r>
    </w:p>
    <w:p>
      <w:pPr>
        <w:numPr>
          <w:ilvl w:val="0"/>
          <w:numId w:val="2"/>
        </w:numPr>
        <w:spacing w:lineRule="auto"/>
      </w:pPr>
      <w:r>
        <w:rPr/>
        <w:t xml:space="preserve">W-02 ISMS (ISO 27001)</w:t>
      </w:r>
    </w:p>
    <w:p>
      <w:pPr>
        <w:numPr>
          <w:ilvl w:val="1"/>
          <w:numId w:val="4"/>
        </w:numPr>
        <w:spacing w:lineRule="auto"/>
      </w:pPr>
      <w:r>
        <w:rPr/>
        <w:t xml:space="preserve">KPI: 100% normconforme controls; 0 high findings bij externe audit.</w:t>
      </w:r>
    </w:p>
    <w:p>
      <w:pPr>
        <w:numPr>
          <w:ilvl w:val="1"/>
          <w:numId w:val="4"/>
        </w:numPr>
        <w:spacing w:lineRule="auto"/>
      </w:pPr>
      <w:r>
        <w:rPr/>
        <w:t xml:space="preserve">Risico: Dataverlies/datalek → juridische en reputatieschade.</w:t>
      </w:r>
    </w:p>
    <w:p>
      <w:pPr>
        <w:numPr>
          <w:ilvl w:val="1"/>
          <w:numId w:val="4"/>
        </w:numPr>
        <w:spacing w:lineRule="auto"/>
      </w:pPr>
      <w:r>
        <w:rPr/>
        <w:t xml:space="preserve">Bewijs: A1 ISO 27001-certificaat (p. 1); A12 Externe audit samenvatting (p. 2–4).</w:t>
      </w:r>
    </w:p>
    <w:p>
      <w:pPr>
        <w:numPr>
          <w:ilvl w:val="0"/>
          <w:numId w:val="2"/>
        </w:numPr>
        <w:spacing w:lineRule="auto"/>
      </w:pPr>
      <w:r>
        <w:rPr/>
        <w:t xml:space="preserve">W-03 ITIL-servicedeskprocessen</w:t>
      </w:r>
    </w:p>
    <w:p>
      <w:pPr>
        <w:numPr>
          <w:ilvl w:val="1"/>
          <w:numId w:val="5"/>
        </w:numPr>
        <w:spacing w:lineRule="auto"/>
      </w:pPr>
      <w:r>
        <w:rPr/>
        <w:t xml:space="preserve">KPI: 90% P1-oplossing &lt; 4 uur; 80% FTR (first-time resolve) bij L1.</w:t>
      </w:r>
    </w:p>
    <w:p>
      <w:pPr>
        <w:numPr>
          <w:ilvl w:val="1"/>
          <w:numId w:val="5"/>
        </w:numPr>
        <w:spacing w:lineRule="auto"/>
      </w:pPr>
      <w:r>
        <w:rPr/>
        <w:t xml:space="preserve">Risico: Trage incidentafhandeling → niet halen SLA.</w:t>
      </w:r>
    </w:p>
    <w:p>
      <w:pPr>
        <w:numPr>
          <w:ilvl w:val="1"/>
          <w:numId w:val="5"/>
        </w:numPr>
        <w:spacing w:lineRule="auto"/>
      </w:pPr>
      <w:r>
        <w:rPr/>
        <w:t xml:space="preserve">Bewijs: A4 ITIL-proceshandboek (p. 3–11); B3 KPI-rapport (p. 4–7).</w:t>
      </w:r>
    </w:p>
    <w:p>
      <w:pPr>
        <w:numPr>
          <w:ilvl w:val="0"/>
          <w:numId w:val="2"/>
        </w:numPr>
        <w:spacing w:lineRule="auto"/>
      </w:pPr>
      <w:r>
        <w:rPr/>
        <w:t xml:space="preserve">W-04 Proactieve monitoring &amp; alerting</w:t>
      </w:r>
    </w:p>
    <w:p>
      <w:pPr>
        <w:numPr>
          <w:ilvl w:val="1"/>
          <w:numId w:val="6"/>
        </w:numPr>
        <w:spacing w:lineRule="auto"/>
      </w:pPr>
      <w:r>
        <w:rPr/>
        <w:t xml:space="preserve">KPI: 95% kritieke alerts geadresseerd &lt; 15 min.</w:t>
      </w:r>
    </w:p>
    <w:p>
      <w:pPr>
        <w:numPr>
          <w:ilvl w:val="1"/>
          <w:numId w:val="6"/>
        </w:numPr>
        <w:spacing w:lineRule="auto"/>
      </w:pPr>
      <w:r>
        <w:rPr/>
        <w:t xml:space="preserve">Risico: Detectiegat → downtime overschrijdt 0,2%.</w:t>
      </w:r>
    </w:p>
    <w:p>
      <w:pPr>
        <w:numPr>
          <w:ilvl w:val="1"/>
          <w:numId w:val="6"/>
        </w:numPr>
        <w:spacing w:lineRule="auto"/>
      </w:pPr>
      <w:r>
        <w:rPr/>
        <w:t xml:space="preserve">Bewijs: A8 Monitoring-overzicht (p. 2–5).</w:t>
      </w:r>
    </w:p>
    <w:p>
      <w:pPr>
        <w:numPr>
          <w:ilvl w:val="0"/>
          <w:numId w:val="2"/>
        </w:numPr>
        <w:spacing w:lineRule="auto"/>
      </w:pPr>
      <w:r>
        <w:rPr/>
        <w:t xml:space="preserve">W-05 EU-dataverwerking</w:t>
      </w:r>
    </w:p>
    <w:p>
      <w:pPr>
        <w:numPr>
          <w:ilvl w:val="1"/>
          <w:numId w:val="7"/>
        </w:numPr>
        <w:spacing w:lineRule="auto"/>
      </w:pPr>
      <w:r>
        <w:rPr/>
        <w:t xml:space="preserve">KPI: 100% data resident in EU; 0 uitzonderingen.</w:t>
      </w:r>
    </w:p>
    <w:p>
      <w:pPr>
        <w:numPr>
          <w:ilvl w:val="1"/>
          <w:numId w:val="7"/>
        </w:numPr>
        <w:spacing w:lineRule="auto"/>
      </w:pPr>
      <w:r>
        <w:rPr/>
        <w:t xml:space="preserve">Risico: AVG-non-compliance → sancties.</w:t>
      </w:r>
    </w:p>
    <w:p>
      <w:pPr>
        <w:numPr>
          <w:ilvl w:val="1"/>
          <w:numId w:val="7"/>
        </w:numPr>
        <w:spacing w:lineRule="auto"/>
      </w:pPr>
      <w:r>
        <w:rPr/>
        <w:t xml:space="preserve">Bewijs: A6 EU Data Residency Statement + DPA (p. 1–3).</w:t>
      </w:r>
    </w:p>
    <w:p>
      <w:pPr>
        <w:numPr>
          <w:ilvl w:val="0"/>
          <w:numId w:val="2"/>
        </w:numPr>
        <w:spacing w:lineRule="auto"/>
      </w:pPr>
      <w:r>
        <w:rPr/>
        <w:t xml:space="preserve">W-06 Escalatieprocedure</w:t>
      </w:r>
    </w:p>
    <w:p>
      <w:pPr>
        <w:numPr>
          <w:ilvl w:val="1"/>
          <w:numId w:val="8"/>
        </w:numPr>
        <w:spacing w:lineRule="auto"/>
      </w:pPr>
      <w:r>
        <w:rPr/>
        <w:t xml:space="preserve">KPI: 100% P1 binnen 5 min geëscaleerd naar duty manager.</w:t>
      </w:r>
    </w:p>
    <w:p>
      <w:pPr>
        <w:numPr>
          <w:ilvl w:val="1"/>
          <w:numId w:val="8"/>
        </w:numPr>
        <w:spacing w:lineRule="auto"/>
      </w:pPr>
      <w:r>
        <w:rPr/>
        <w:t xml:space="preserve">Risico: Vertraagde besluitvorming bij major incidenten.</w:t>
      </w:r>
    </w:p>
    <w:p>
      <w:pPr>
        <w:numPr>
          <w:ilvl w:val="1"/>
          <w:numId w:val="8"/>
        </w:numPr>
        <w:spacing w:lineRule="auto"/>
      </w:pPr>
      <w:r>
        <w:rPr/>
        <w:t xml:space="preserve">Bewijs: A5 Escalatiematrix (p. 1–2).</w:t>
      </w:r>
    </w:p>
    <w:p>
      <w:pPr>
        <w:numPr>
          <w:ilvl w:val="0"/>
          <w:numId w:val="2"/>
        </w:numPr>
        <w:spacing w:lineRule="auto"/>
      </w:pPr>
      <w:r>
        <w:rPr/>
        <w:t xml:space="preserve">W-07 BCP/Continuïteit</w:t>
      </w:r>
    </w:p>
    <w:p>
      <w:pPr>
        <w:numPr>
          <w:ilvl w:val="1"/>
          <w:numId w:val="9"/>
        </w:numPr>
        <w:spacing w:lineRule="auto"/>
      </w:pPr>
      <w:r>
        <w:rPr/>
        <w:t xml:space="preserve">KPI: Hersteltijdkritieke processen ≤ 4 uur (RTO); dataverlies ≤ 15 min (RPO) waar van toepassing.</w:t>
      </w:r>
    </w:p>
    <w:p>
      <w:pPr>
        <w:numPr>
          <w:ilvl w:val="1"/>
          <w:numId w:val="9"/>
        </w:numPr>
        <w:spacing w:lineRule="auto"/>
      </w:pPr>
      <w:r>
        <w:rPr/>
        <w:t xml:space="preserve">Risico: Langdurige uitval door calamiteit.</w:t>
      </w:r>
    </w:p>
    <w:p>
      <w:pPr>
        <w:numPr>
          <w:ilvl w:val="1"/>
          <w:numId w:val="9"/>
        </w:numPr>
        <w:spacing w:lineRule="auto"/>
      </w:pPr>
      <w:r>
        <w:rPr/>
        <w:t xml:space="preserve">Bewijs: A7 BCP (p. 2–8); A7 §5 Oefenrapport 2025Q2.</w:t>
      </w:r>
    </w:p>
    <w:p>
      <w:pPr>
        <w:numPr>
          <w:ilvl w:val="0"/>
          <w:numId w:val="2"/>
        </w:numPr>
        <w:spacing w:lineRule="auto"/>
      </w:pPr>
      <w:r>
        <w:rPr/>
        <w:t xml:space="preserve">W-08 Patchmanagement</w:t>
      </w:r>
    </w:p>
    <w:p>
      <w:pPr>
        <w:numPr>
          <w:ilvl w:val="1"/>
          <w:numId w:val="10"/>
        </w:numPr>
        <w:spacing w:lineRule="auto"/>
      </w:pPr>
      <w:r>
        <w:rPr/>
        <w:t xml:space="preserve">KPI: Kritieke patches (CVSS ≥ 9) binnen 7 dagen; overige binnen 30 dagen.</w:t>
      </w:r>
    </w:p>
    <w:p>
      <w:pPr>
        <w:numPr>
          <w:ilvl w:val="1"/>
          <w:numId w:val="10"/>
        </w:numPr>
        <w:spacing w:lineRule="auto"/>
      </w:pPr>
      <w:r>
        <w:rPr/>
        <w:t xml:space="preserve">Risico: Exploitatie kwetsbaarheden.</w:t>
      </w:r>
    </w:p>
    <w:p>
      <w:pPr>
        <w:numPr>
          <w:ilvl w:val="1"/>
          <w:numId w:val="10"/>
        </w:numPr>
        <w:spacing w:lineRule="auto"/>
      </w:pPr>
      <w:r>
        <w:rPr/>
        <w:t xml:space="preserve">Bewijs: A9 Patchbeleid (p. 1–4); A9 §3 Rapportage maart 2025.</w:t>
      </w:r>
    </w:p>
    <w:p>
      <w:pPr>
        <w:numPr>
          <w:ilvl w:val="0"/>
          <w:numId w:val="2"/>
        </w:numPr>
        <w:spacing w:lineRule="auto"/>
      </w:pPr>
      <w:r>
        <w:rPr/>
        <w:t xml:space="preserve">W-09 Microsoft 365-ondersteuning</w:t>
      </w:r>
    </w:p>
    <w:p>
      <w:pPr>
        <w:numPr>
          <w:ilvl w:val="1"/>
          <w:numId w:val="11"/>
        </w:numPr>
        <w:spacing w:lineRule="auto"/>
      </w:pPr>
      <w:r>
        <w:rPr/>
        <w:t xml:space="preserve">KPI: 95% change-implementaties binnen venster; 0 kritieke verstoringen door changes.</w:t>
      </w:r>
    </w:p>
    <w:p>
      <w:pPr>
        <w:numPr>
          <w:ilvl w:val="1"/>
          <w:numId w:val="11"/>
        </w:numPr>
        <w:spacing w:lineRule="auto"/>
      </w:pPr>
      <w:r>
        <w:rPr/>
        <w:t xml:space="preserve">Risico: Configuratiefouten → productiviteitsverlies.</w:t>
      </w:r>
    </w:p>
    <w:p>
      <w:pPr>
        <w:numPr>
          <w:ilvl w:val="1"/>
          <w:numId w:val="11"/>
        </w:numPr>
        <w:spacing w:lineRule="auto"/>
      </w:pPr>
      <w:r>
        <w:rPr/>
        <w:t xml:space="preserve">Bewijs: A13 M365 Capability &amp; RACI (p. 1–3); A4 §4 Change Management.</w:t>
      </w:r>
    </w:p>
    <w:p>
      <w:pPr>
        <w:numPr>
          <w:ilvl w:val="0"/>
          <w:numId w:val="2"/>
        </w:numPr>
        <w:spacing w:lineRule="auto"/>
      </w:pPr>
      <w:r>
        <w:rPr/>
        <w:t xml:space="preserve">W-10 Beschikbaarheid 99,8%</w:t>
      </w:r>
    </w:p>
    <w:p>
      <w:pPr>
        <w:numPr>
          <w:ilvl w:val="1"/>
          <w:numId w:val="12"/>
        </w:numPr>
        <w:spacing w:lineRule="auto"/>
      </w:pPr>
      <w:r>
        <w:rPr/>
        <w:t xml:space="preserve">KPI: Beschikbaarheid kritieke systemen ≥ 99,8% p/mnd.</w:t>
      </w:r>
    </w:p>
    <w:p>
      <w:pPr>
        <w:numPr>
          <w:ilvl w:val="1"/>
          <w:numId w:val="12"/>
        </w:numPr>
        <w:spacing w:lineRule="auto"/>
      </w:pPr>
      <w:r>
        <w:rPr/>
        <w:t xml:space="preserve">Risico: SLA-penalty’s.</w:t>
      </w:r>
    </w:p>
    <w:p>
      <w:pPr>
        <w:numPr>
          <w:ilvl w:val="1"/>
          <w:numId w:val="12"/>
        </w:numPr>
        <w:spacing w:lineRule="auto"/>
      </w:pPr>
      <w:r>
        <w:rPr/>
        <w:t xml:space="preserve">Bewijs: B3 Uptime-rapport april 2025 (p. 2); A8 dashboards.</w:t>
      </w:r>
    </w:p>
    <w:p>
      <w:pPr>
        <w:numPr>
          <w:ilvl w:val="0"/>
          <w:numId w:val="2"/>
        </w:numPr>
        <w:spacing w:lineRule="auto"/>
      </w:pPr>
      <w:r>
        <w:rPr/>
        <w:t xml:space="preserve">W-11 P1 Responstijd &lt; 30 min</w:t>
      </w:r>
    </w:p>
    <w:p>
      <w:pPr>
        <w:numPr>
          <w:ilvl w:val="1"/>
          <w:numId w:val="13"/>
        </w:numPr>
        <w:spacing w:lineRule="auto"/>
      </w:pPr>
      <w:r>
        <w:rPr/>
        <w:t xml:space="preserve">KPI: ≥ 98% gehaald per maand.</w:t>
      </w:r>
    </w:p>
    <w:p>
      <w:pPr>
        <w:numPr>
          <w:ilvl w:val="1"/>
          <w:numId w:val="13"/>
        </w:numPr>
        <w:spacing w:lineRule="auto"/>
      </w:pPr>
      <w:r>
        <w:rPr/>
        <w:t xml:space="preserve">Risico: Niet-tijdige mitigatie P1.</w:t>
      </w:r>
    </w:p>
    <w:p>
      <w:pPr>
        <w:numPr>
          <w:ilvl w:val="1"/>
          <w:numId w:val="13"/>
        </w:numPr>
        <w:spacing w:lineRule="auto"/>
      </w:pPr>
      <w:r>
        <w:rPr/>
        <w:t xml:space="preserve">Bewijs: B3 KPI-rapport (p. 3).</w:t>
      </w:r>
    </w:p>
    <w:p>
      <w:pPr>
        <w:numPr>
          <w:ilvl w:val="0"/>
          <w:numId w:val="2"/>
        </w:numPr>
        <w:spacing w:lineRule="auto"/>
      </w:pPr>
      <w:r>
        <w:rPr/>
        <w:t xml:space="preserve">W-12 P1 Oplostijd &lt; 4 uur</w:t>
      </w:r>
    </w:p>
    <w:p>
      <w:pPr>
        <w:numPr>
          <w:ilvl w:val="1"/>
          <w:numId w:val="14"/>
        </w:numPr>
        <w:spacing w:lineRule="auto"/>
      </w:pPr>
      <w:r>
        <w:rPr/>
        <w:t xml:space="preserve">KPI: ≥ 90% gehaald per maand.</w:t>
      </w:r>
    </w:p>
    <w:p>
      <w:pPr>
        <w:numPr>
          <w:ilvl w:val="1"/>
          <w:numId w:val="14"/>
        </w:numPr>
        <w:spacing w:lineRule="auto"/>
      </w:pPr>
      <w:r>
        <w:rPr/>
        <w:t xml:space="preserve">Risico: Langdurige impact op dienstverlening.</w:t>
      </w:r>
    </w:p>
    <w:p>
      <w:pPr>
        <w:numPr>
          <w:ilvl w:val="1"/>
          <w:numId w:val="14"/>
        </w:numPr>
        <w:spacing w:lineRule="auto"/>
      </w:pPr>
      <w:r>
        <w:rPr/>
        <w:t xml:space="preserve">Bewijs: B3 KPI-rapport (p. 4).</w:t>
      </w:r>
    </w:p>
    <w:p>
      <w:pPr>
        <w:numPr>
          <w:ilvl w:val="0"/>
          <w:numId w:val="2"/>
        </w:numPr>
        <w:spacing w:lineRule="auto"/>
      </w:pPr>
      <w:r>
        <w:rPr/>
        <w:t xml:space="preserve">W-13 VOG-proces</w:t>
      </w:r>
    </w:p>
    <w:p>
      <w:pPr>
        <w:numPr>
          <w:ilvl w:val="1"/>
          <w:numId w:val="15"/>
        </w:numPr>
        <w:spacing w:lineRule="auto"/>
      </w:pPr>
      <w:r>
        <w:rPr/>
        <w:t xml:space="preserve">KPI: 100% medewerkers met VOG indien vereist vóór inzet.</w:t>
      </w:r>
    </w:p>
    <w:p>
      <w:pPr>
        <w:numPr>
          <w:ilvl w:val="1"/>
          <w:numId w:val="15"/>
        </w:numPr>
        <w:spacing w:lineRule="auto"/>
      </w:pPr>
      <w:r>
        <w:rPr/>
        <w:t xml:space="preserve">Risico: Integriteitsincidenten op locatie.</w:t>
      </w:r>
    </w:p>
    <w:p>
      <w:pPr>
        <w:numPr>
          <w:ilvl w:val="1"/>
          <w:numId w:val="15"/>
        </w:numPr>
        <w:spacing w:lineRule="auto"/>
      </w:pPr>
      <w:r>
        <w:rPr/>
        <w:t xml:space="preserve">Bewijs: A10 VOG-procesbeschrijving (p. 1–2).</w:t>
      </w:r>
    </w:p>
    <w:p>
      <w:pPr>
        <w:numPr>
          <w:ilvl w:val="0"/>
          <w:numId w:val="2"/>
        </w:numPr>
        <w:spacing w:lineRule="auto"/>
      </w:pPr>
      <w:r>
        <w:rPr/>
        <w:t xml:space="preserve">W-14 DPIA &amp; privacy-by-design</w:t>
      </w:r>
    </w:p>
    <w:p>
      <w:pPr>
        <w:numPr>
          <w:ilvl w:val="1"/>
          <w:numId w:val="16"/>
        </w:numPr>
        <w:spacing w:lineRule="auto"/>
      </w:pPr>
      <w:r>
        <w:rPr/>
        <w:t xml:space="preserve">KPI: DPIA uitgevoerd voor nieuwe verwerkingen met hoog risico.</w:t>
      </w:r>
    </w:p>
    <w:p>
      <w:pPr>
        <w:numPr>
          <w:ilvl w:val="1"/>
          <w:numId w:val="16"/>
        </w:numPr>
        <w:spacing w:lineRule="auto"/>
      </w:pPr>
      <w:r>
        <w:rPr/>
        <w:t xml:space="preserve">Risico: Onvoldoende privacy-borging.</w:t>
      </w:r>
    </w:p>
    <w:p>
      <w:pPr>
        <w:numPr>
          <w:ilvl w:val="1"/>
          <w:numId w:val="16"/>
        </w:numPr>
        <w:spacing w:lineRule="auto"/>
      </w:pPr>
      <w:r>
        <w:rPr/>
        <w:t xml:space="preserve">Bewijs: A6 DPA (p. 2); A11 DPIA-sjabloon (p. 1–3).</w:t>
      </w:r>
    </w:p>
    <w:p>
      <w:pPr>
        <w:numPr>
          <w:ilvl w:val="0"/>
          <w:numId w:val="2"/>
        </w:numPr>
        <w:spacing w:lineRule="auto"/>
      </w:pPr>
      <w:r>
        <w:rPr/>
        <w:t xml:space="preserve">W-15 Security awareness</w:t>
      </w:r>
    </w:p>
    <w:p>
      <w:pPr>
        <w:numPr>
          <w:ilvl w:val="1"/>
          <w:numId w:val="17"/>
        </w:numPr>
        <w:spacing w:lineRule="auto"/>
      </w:pPr>
      <w:r>
        <w:rPr/>
        <w:t xml:space="preserve">KPI: ≥ 95% deelname jaartraining; phishing fail-rate &lt; 5%.</w:t>
      </w:r>
    </w:p>
    <w:p>
      <w:pPr>
        <w:numPr>
          <w:ilvl w:val="1"/>
          <w:numId w:val="17"/>
        </w:numPr>
        <w:spacing w:lineRule="auto"/>
      </w:pPr>
      <w:r>
        <w:rPr/>
        <w:t xml:space="preserve">Risico: Social engineering.</w:t>
      </w:r>
    </w:p>
    <w:p>
      <w:pPr>
        <w:numPr>
          <w:ilvl w:val="1"/>
          <w:numId w:val="17"/>
        </w:numPr>
        <w:spacing w:lineRule="auto"/>
      </w:pPr>
      <w:r>
        <w:rPr/>
        <w:t xml:space="preserve">Bewijs: A15 Trainingsrapport 2025 (p. 1–2).</w:t>
      </w:r>
    </w:p>
    <w:p>
      <w:pPr>
        <w:numPr>
          <w:ilvl w:val="0"/>
          <w:numId w:val="2"/>
        </w:numPr>
        <w:spacing w:lineRule="auto"/>
      </w:pPr>
      <w:r>
        <w:rPr/>
        <w:t xml:space="preserve">W-16 Problem &amp; Change reviews</w:t>
      </w:r>
    </w:p>
    <w:p>
      <w:pPr>
        <w:numPr>
          <w:ilvl w:val="1"/>
          <w:numId w:val="18"/>
        </w:numPr>
        <w:spacing w:lineRule="auto"/>
      </w:pPr>
      <w:r>
        <w:rPr/>
        <w:t xml:space="preserve">KPI: 100% major incidents met PIR binnen 5 werkdagen; 90% changes met risico-assessment.</w:t>
      </w:r>
    </w:p>
    <w:p>
      <w:pPr>
        <w:numPr>
          <w:ilvl w:val="1"/>
          <w:numId w:val="18"/>
        </w:numPr>
        <w:spacing w:lineRule="auto"/>
      </w:pPr>
      <w:r>
        <w:rPr/>
        <w:t xml:space="preserve">Risico: Herhaling incidenten.</w:t>
      </w:r>
    </w:p>
    <w:p>
      <w:pPr>
        <w:numPr>
          <w:ilvl w:val="1"/>
          <w:numId w:val="18"/>
        </w:numPr>
        <w:spacing w:lineRule="auto"/>
      </w:pPr>
      <w:r>
        <w:rPr/>
        <w:t xml:space="preserve">Bewijs: A4 §5–6; A16 PIR-voorbeeld (p. 1–2).</w:t>
      </w:r>
    </w:p>
    <w:p>
      <w:pPr>
        <w:numPr>
          <w:ilvl w:val="0"/>
          <w:numId w:val="2"/>
        </w:numPr>
        <w:spacing w:lineRule="auto"/>
      </w:pPr>
      <w:r>
        <w:rPr/>
        <w:t xml:space="preserve">W-17 Transparante rapportage</w:t>
      </w:r>
    </w:p>
    <w:p>
      <w:pPr>
        <w:numPr>
          <w:ilvl w:val="1"/>
          <w:numId w:val="19"/>
        </w:numPr>
        <w:spacing w:lineRule="auto"/>
      </w:pPr>
      <w:r>
        <w:rPr/>
        <w:t xml:space="preserve">KPI: Maandrapport gereed binnen 5 werkdagen na maandafsluiting.</w:t>
      </w:r>
    </w:p>
    <w:p>
      <w:pPr>
        <w:numPr>
          <w:ilvl w:val="1"/>
          <w:numId w:val="19"/>
        </w:numPr>
        <w:spacing w:lineRule="auto"/>
      </w:pPr>
      <w:r>
        <w:rPr/>
        <w:t xml:space="preserve">Risico: Late sturing/verbeteracties.</w:t>
      </w:r>
    </w:p>
    <w:p>
      <w:pPr>
        <w:numPr>
          <w:ilvl w:val="1"/>
          <w:numId w:val="19"/>
        </w:numPr>
        <w:spacing w:lineRule="auto"/>
      </w:pPr>
      <w:r>
        <w:rPr/>
        <w:t xml:space="preserve">Bewijs: B3 KPI-overzicht (p. 1–7); A14 Verbeterregister (p. 1–3).</w:t>
      </w:r>
    </w:p>
    <w:p>
      <w:pPr>
        <w:spacing w:lineRule="auto"/>
      </w:pPr>
      <w:r>
        <w:rPr/>
        <w:t xml:space="preserve">Overzicht bewijsstukken (Bijlage | Beschrijving | Relatie (W-xx/KO/REQ) | Status | Verwijzing)</w:t>
      </w:r>
    </w:p>
    <w:p>
      <w:pPr>
        <w:numPr>
          <w:ilvl w:val="0"/>
          <w:numId w:val="20"/>
        </w:numPr>
        <w:spacing w:lineRule="auto"/>
      </w:pPr>
      <w:r>
        <w:rPr/>
        <w:t xml:space="preserve">A1 | ISO 27001-certificaat Uno Automatiseringdiensten B.V. | KO: ISO 27001; W-02; REQ: Security &amp; EU data | Geldig (voortdurend; jaarlijkse audit) | p. 1</w:t>
      </w:r>
    </w:p>
    <w:p>
      <w:pPr>
        <w:numPr>
          <w:ilvl w:val="0"/>
          <w:numId w:val="20"/>
        </w:numPr>
        <w:spacing w:lineRule="auto"/>
      </w:pPr>
      <w:r>
        <w:rPr/>
        <w:t xml:space="preserve">A2 | ISO 9001-certificaat Uno Automatiseringdiensten B.V. | KO: ISO 9001; W-03; REQ: ITIL-kwaliteit | Geldig (voortdurend) | p. 1</w:t>
      </w:r>
    </w:p>
    <w:p>
      <w:pPr>
        <w:numPr>
          <w:ilvl w:val="0"/>
          <w:numId w:val="20"/>
        </w:numPr>
        <w:spacing w:lineRule="auto"/>
      </w:pPr>
      <w:r>
        <w:rPr/>
        <w:t xml:space="preserve">A3 | 24/7 bereikbaarheidsdienst: piketrooster, bereikbaarheid NOC/SPOC | KO: 24/7; W-01; REQ: escalatie | Operationeel 2025 | p. 2–6, §1–3</w:t>
      </w:r>
    </w:p>
    <w:p>
      <w:pPr>
        <w:numPr>
          <w:ilvl w:val="0"/>
          <w:numId w:val="20"/>
        </w:numPr>
        <w:spacing w:lineRule="auto"/>
      </w:pPr>
      <w:r>
        <w:rPr/>
        <w:t xml:space="preserve">A4 | ITIL-proceshandboek (Incident, Request, Change, Problem) | REQ: ITIL servicedesk; W-03/W-16 | Versie 2.3 (2025-06-12) | p. 3–12, §2–6</w:t>
      </w:r>
    </w:p>
    <w:p>
      <w:pPr>
        <w:numPr>
          <w:ilvl w:val="0"/>
          <w:numId w:val="20"/>
        </w:numPr>
        <w:spacing w:lineRule="auto"/>
      </w:pPr>
      <w:r>
        <w:rPr/>
        <w:t xml:space="preserve">A5 | Escalatieprocedure &amp; -matrix (P1–P3) | REQ: Escalatieprocedure; W-06 | Versie 1.5 (2025-05-08) | p. 1–2, §1</w:t>
      </w:r>
    </w:p>
    <w:p>
      <w:pPr>
        <w:numPr>
          <w:ilvl w:val="0"/>
          <w:numId w:val="20"/>
        </w:numPr>
        <w:spacing w:lineRule="auto"/>
      </w:pPr>
      <w:r>
        <w:rPr/>
        <w:t xml:space="preserve">A6 | EU Data Residency Statement + Verwerkersovereenkomst (DPA) | REQ: Alle data in EU; W-05/W-14 | Versie 1.4 (2025-04-22) | p. 1–3, §2</w:t>
      </w:r>
    </w:p>
    <w:p>
      <w:pPr>
        <w:numPr>
          <w:ilvl w:val="0"/>
          <w:numId w:val="20"/>
        </w:numPr>
        <w:spacing w:lineRule="auto"/>
      </w:pPr>
      <w:r>
        <w:rPr/>
        <w:t xml:space="preserve">A7 | Continuïteitsplan (BCP) + oefenrapport 2025Q2 | REQ: BCP; W-07 | Versie 2.0 (2025-07-01) | p. 2–8, §3–5</w:t>
      </w:r>
    </w:p>
    <w:p>
      <w:pPr>
        <w:numPr>
          <w:ilvl w:val="0"/>
          <w:numId w:val="20"/>
        </w:numPr>
        <w:spacing w:lineRule="auto"/>
      </w:pPr>
      <w:r>
        <w:rPr/>
        <w:t xml:space="preserve">A8 | Monitoring &amp; alerting: architectuur + dashboards | REQ: Proactieve monitoring; W-04/W-10 | Operationeel | p. 2–5, §2</w:t>
      </w:r>
    </w:p>
    <w:p>
      <w:pPr>
        <w:numPr>
          <w:ilvl w:val="0"/>
          <w:numId w:val="20"/>
        </w:numPr>
        <w:spacing w:lineRule="auto"/>
      </w:pPr>
      <w:r>
        <w:rPr/>
        <w:t xml:space="preserve">A9 | Patch- en Vulnerability Management beleid + rapportage | REQ: Patchmanagement; W-08 | Versie 1.9 (2025-06-30) | p. 1–4, §3</w:t>
      </w:r>
    </w:p>
    <w:p>
      <w:pPr>
        <w:numPr>
          <w:ilvl w:val="0"/>
          <w:numId w:val="20"/>
        </w:numPr>
        <w:spacing w:lineRule="auto"/>
      </w:pPr>
      <w:r>
        <w:rPr/>
        <w:t xml:space="preserve">A10 | Procesbeschrijving VOG &amp; screening | REQ: VOG indien vereist; W-13 | Versie 1.2 (2025-03-18) | p. 1–2, §1–2</w:t>
      </w:r>
    </w:p>
    <w:p>
      <w:pPr>
        <w:numPr>
          <w:ilvl w:val="0"/>
          <w:numId w:val="20"/>
        </w:numPr>
        <w:spacing w:lineRule="auto"/>
      </w:pPr>
      <w:r>
        <w:rPr/>
        <w:t xml:space="preserve">A11 | DPIA-sjabloon en werkwijze privacy-by-design | W-14 | Versie 1.1 (2025-02-27) | p. 1–3, §1–3</w:t>
      </w:r>
    </w:p>
    <w:p>
      <w:pPr>
        <w:numPr>
          <w:ilvl w:val="0"/>
          <w:numId w:val="20"/>
        </w:numPr>
        <w:spacing w:lineRule="auto"/>
      </w:pPr>
      <w:r>
        <w:rPr/>
        <w:t xml:space="preserve">A12 | Externe ISO-audit samenvatting 2024/2025 | W-02/W-03 | Goedgekeurd (2025-01-20) | p. 2–4, §2</w:t>
      </w:r>
    </w:p>
    <w:p>
      <w:pPr>
        <w:numPr>
          <w:ilvl w:val="0"/>
          <w:numId w:val="20"/>
        </w:numPr>
        <w:spacing w:lineRule="auto"/>
      </w:pPr>
      <w:r>
        <w:rPr/>
        <w:t xml:space="preserve">A13 | Microsoft 365-ondersteuning: scope, RACI, skills-matrix | REQ: M365; W-09 | Versie 1.3 (2025-05-15) | p. 1–3, §1–2</w:t>
      </w:r>
    </w:p>
    <w:p>
      <w:pPr>
        <w:numPr>
          <w:ilvl w:val="0"/>
          <w:numId w:val="20"/>
        </w:numPr>
        <w:spacing w:lineRule="auto"/>
      </w:pPr>
      <w:r>
        <w:rPr/>
        <w:t xml:space="preserve">A14 | Verbeterregister + Management Review notulen | W-17; PDCA-Act | Versie 2025Q3 | p. 1–3, §1</w:t>
      </w:r>
    </w:p>
    <w:p>
      <w:pPr>
        <w:numPr>
          <w:ilvl w:val="0"/>
          <w:numId w:val="20"/>
        </w:numPr>
        <w:spacing w:lineRule="auto"/>
      </w:pPr>
      <w:r>
        <w:rPr/>
        <w:t xml:space="preserve">A15 | Security awareness &amp; phishingrapport 2025 | W-15 | Versie 2025Q2 | p. 1–2, §1</w:t>
      </w:r>
    </w:p>
    <w:p>
      <w:pPr>
        <w:numPr>
          <w:ilvl w:val="0"/>
          <w:numId w:val="20"/>
        </w:numPr>
        <w:spacing w:lineRule="auto"/>
      </w:pPr>
      <w:r>
        <w:rPr/>
        <w:t xml:space="preserve">A16 | Post Incident Review (PIR) voorbeeld P1 | W-16 | Gesloten (2025-04-11) | p. 1–2, §1</w:t>
      </w:r>
    </w:p>
    <w:p>
      <w:pPr>
        <w:numPr>
          <w:ilvl w:val="0"/>
          <w:numId w:val="20"/>
        </w:numPr>
        <w:spacing w:lineRule="auto"/>
      </w:pPr>
      <w:r>
        <w:rPr/>
        <w:t xml:space="preserve">B1 | Plan van Aanpak (PvA) — implementatie en transitie | Deliverable; Plan; W-01/W-04/W-08 | Goedgekeurd (2025-06-10) | p. 1–10, §1–6</w:t>
      </w:r>
    </w:p>
    <w:p>
      <w:pPr>
        <w:numPr>
          <w:ilvl w:val="0"/>
          <w:numId w:val="20"/>
        </w:numPr>
        <w:spacing w:lineRule="auto"/>
      </w:pPr>
      <w:r>
        <w:rPr/>
        <w:t xml:space="preserve">B2 | Risicodossier (register, maatregelen, eigenaar) | Deliverable; W-xx alle; EMVI Risico | Versie 2025Q3 | p. 1–8, §2</w:t>
      </w:r>
    </w:p>
    <w:p>
      <w:pPr>
        <w:numPr>
          <w:ilvl w:val="0"/>
          <w:numId w:val="20"/>
        </w:numPr>
        <w:spacing w:lineRule="auto"/>
      </w:pPr>
      <w:r>
        <w:rPr/>
        <w:t xml:space="preserve">B3 | KPI-overzicht &amp; maandrapportage (uptime, P1 response/solve) | Deliverable; W-10/W-11/W-12/W-17 | April–sept 2025 afgerond | p. 1–7, §1–3</w:t>
      </w:r>
    </w:p>
    <w:p>
      <w:pPr>
        <w:numPr>
          <w:ilvl w:val="0"/>
          <w:numId w:val="20"/>
        </w:numPr>
        <w:spacing w:lineRule="auto"/>
      </w:pPr>
      <w:r>
        <w:rPr/>
        <w:t xml:space="preserve">C1 | KvK-uittreksel Uno Automatiseringdiensten B.V. | Administratief | Geldig (opvr. 2025-06-01) | p. 1</w:t>
      </w:r>
    </w:p>
    <w:p>
      <w:pPr>
        <w:numPr>
          <w:ilvl w:val="0"/>
          <w:numId w:val="20"/>
        </w:numPr>
        <w:spacing w:lineRule="auto"/>
      </w:pPr>
      <w:r>
        <w:rPr/>
        <w:t xml:space="preserve">C2 | AVG-register verwerkingen + dataclassificatie | W-05/W-14 | Versie 2025Q2 | p. 1–4, §2</w:t>
      </w:r>
    </w:p>
    <w:p>
      <w:pPr>
        <w:numPr>
          <w:ilvl w:val="0"/>
          <w:numId w:val="20"/>
        </w:numPr>
        <w:spacing w:lineRule="auto"/>
      </w:pPr>
      <w:r>
        <w:rPr/>
        <w:t xml:space="preserve">C3 | Change Advisory Board (CAB) kalender en minutes | W-16 | 2025Q2–Q3 | p. 1–3, §1</w:t>
      </w:r>
    </w:p>
    <w:p>
      <w:pPr>
        <w:numPr>
          <w:ilvl w:val="0"/>
          <w:numId w:val="20"/>
        </w:numPr>
        <w:spacing w:lineRule="auto"/>
      </w:pPr>
      <w:r>
        <w:rPr/>
        <w:t xml:space="preserve">C4 | Capaciteits- en bezettingsplanning servicedesk | W-01/W-03 | 2025 operationeel | p. 1–2, §1</w:t>
      </w:r>
    </w:p>
    <w:p>
      <w:pPr>
        <w:numPr>
          <w:ilvl w:val="0"/>
          <w:numId w:val="20"/>
        </w:numPr>
        <w:spacing w:lineRule="auto"/>
      </w:pPr>
      <w:r>
        <w:rPr/>
        <w:t xml:space="preserve">C5 | Duurzaamheidsbeleid ICT (energie, lifecycle, mobiliteit) | EMVI Duurzaamheid | Versie 1.0 (2025-05-05) | p. 1–3, §1–2</w:t>
      </w:r>
    </w:p>
    <w:p>
      <w:pPr>
        <w:spacing w:lineRule="auto"/>
      </w:pPr>
      <w:r>
        <w:rPr/>
        <w:t xml:space="preserve">SMART-samenvatting per kern-KPI</w:t>
      </w:r>
    </w:p>
    <w:p>
      <w:pPr>
        <w:numPr>
          <w:ilvl w:val="0"/>
          <w:numId w:val="21"/>
        </w:numPr>
        <w:spacing w:lineRule="auto"/>
      </w:pPr>
      <w:r>
        <w:rPr/>
        <w:t xml:space="preserve">Beschikbaarheid kritieke systemen (SLA-1): Doel ≥ 99,8% per maand; Meting: uptime-monitoring (A8) en B3 p. 2; Check: maandelijkse review CAB/SR (C3); Act: verbetermaatregelen binnen 10 werkdagen (A14).</w:t>
      </w:r>
    </w:p>
    <w:p>
      <w:pPr>
        <w:numPr>
          <w:ilvl w:val="0"/>
          <w:numId w:val="21"/>
        </w:numPr>
        <w:spacing w:lineRule="auto"/>
      </w:pPr>
      <w:r>
        <w:rPr/>
        <w:t xml:space="preserve">P1 responstijd (SLA-2): Doel &lt; 30 min bij ≥ 98% tickets; Meting: service desk tool; Check: B3 p. 3; Act: extra piketcapaciteit of runbooks update binnen 5 werkdagen (A3/A4).</w:t>
      </w:r>
    </w:p>
    <w:p>
      <w:pPr>
        <w:numPr>
          <w:ilvl w:val="0"/>
          <w:numId w:val="21"/>
        </w:numPr>
        <w:spacing w:lineRule="auto"/>
      </w:pPr>
      <w:r>
        <w:rPr/>
        <w:t xml:space="preserve">P1 oplostijd (SLA-3): Doel &lt; 4 uur bij ≥ 90% tickets; Meting en Check: B3 p. 4; Act: problem review en structurele fix in backlog binnen 15 werkdagen (A4 §6, A14).</w:t>
      </w:r>
    </w:p>
    <w:p>
      <w:pPr>
        <w:numPr>
          <w:ilvl w:val="0"/>
          <w:numId w:val="21"/>
        </w:numPr>
        <w:spacing w:lineRule="auto"/>
      </w:pPr>
      <w:r>
        <w:rPr/>
        <w:t xml:space="preserve">Kritieke patches: Doel implementatie ≤ 7 dagen bij ≥ 95%; Meting: A9 §3; Act: wijzigingsvensters uitbreiden indien &lt;95% (A4 §4).</w:t>
      </w:r>
    </w:p>
    <w:p>
      <w:pPr>
        <w:numPr>
          <w:ilvl w:val="0"/>
          <w:numId w:val="21"/>
        </w:numPr>
        <w:spacing w:lineRule="auto"/>
      </w:pPr>
      <w:r>
        <w:rPr/>
        <w:t xml:space="preserve">EU-dataverwerking: Doel 100%; Check: halfjaarlijkse audit (C2 p. 2); Act: leveranciersreview binnen 10 werkdagen (A6 §2).</w:t>
      </w:r>
    </w:p>
    <w:p>
      <w:pPr>
        <w:spacing w:lineRule="auto"/>
      </w:pPr>
      <w:r>
        <w:rPr/>
        <w:t xml:space="preserve">Risico-overzicht (koppeling aan bewijs)</w:t>
      </w:r>
    </w:p>
    <w:p>
      <w:pPr>
        <w:numPr>
          <w:ilvl w:val="0"/>
          <w:numId w:val="22"/>
        </w:numPr>
        <w:spacing w:lineRule="auto"/>
      </w:pPr>
      <w:r>
        <w:rPr/>
        <w:t xml:space="preserve">R1 SLA-overschrijding door late detectie → W-04/A8, B3; mitigatie: tuning alerts, extra 24/7 staffing (A3).</w:t>
      </w:r>
    </w:p>
    <w:p>
      <w:pPr>
        <w:numPr>
          <w:ilvl w:val="0"/>
          <w:numId w:val="22"/>
        </w:numPr>
        <w:spacing w:lineRule="auto"/>
      </w:pPr>
      <w:r>
        <w:rPr/>
        <w:t xml:space="preserve">R2 Security-incident → W-02/A1, A12; mitigatie: patching (A9), awareness (A15), PIR (A16).</w:t>
      </w:r>
    </w:p>
    <w:p>
      <w:pPr>
        <w:numPr>
          <w:ilvl w:val="0"/>
          <w:numId w:val="22"/>
        </w:numPr>
        <w:spacing w:lineRule="auto"/>
      </w:pPr>
      <w:r>
        <w:rPr/>
        <w:t xml:space="preserve">R3 Juridische non-compliance AVG → W-05/A6, C2; mitigatie: DPIA (A11), dataclassificatie (C2).</w:t>
      </w:r>
    </w:p>
    <w:p>
      <w:pPr>
        <w:numPr>
          <w:ilvl w:val="0"/>
          <w:numId w:val="22"/>
        </w:numPr>
        <w:spacing w:lineRule="auto"/>
      </w:pPr>
      <w:r>
        <w:rPr/>
        <w:t xml:space="preserve">R4 Onvoldoende continuïteit bij calamiteit → W-07/A7; mitigatie: redundantie, test-oefeningen (A7 §5).</w:t>
      </w:r>
    </w:p>
    <w:p>
      <w:pPr>
        <w:numPr>
          <w:ilvl w:val="0"/>
          <w:numId w:val="22"/>
        </w:numPr>
        <w:spacing w:lineRule="auto"/>
      </w:pPr>
      <w:r>
        <w:rPr/>
        <w:t xml:space="preserve">R5 Onvoldoende change governance → W-03/W-16/A4, C3; mitigatie: CAB, risk scoring, back-out plans.</w:t>
      </w:r>
    </w:p>
    <w:p>
      <w:pPr>
        <w:spacing w:lineRule="auto"/>
      </w:pPr>
      <w:r>
        <w:rPr/>
        <w:t xml:space="preserve">Verantwoording EMVI-criteria met bewijs</w:t>
      </w:r>
    </w:p>
    <w:p>
      <w:pPr>
        <w:numPr>
          <w:ilvl w:val="0"/>
          <w:numId w:val="23"/>
        </w:numPr>
        <w:spacing w:lineRule="auto"/>
      </w:pPr>
      <w:r>
        <w:rPr/>
        <w:t xml:space="preserve">Kwaliteit: A2, A4, B3, C4 — aantoonbaar procesmatig en prestatiegedreven.</w:t>
      </w:r>
    </w:p>
    <w:p>
      <w:pPr>
        <w:numPr>
          <w:ilvl w:val="0"/>
          <w:numId w:val="23"/>
        </w:numPr>
        <w:spacing w:lineRule="auto"/>
      </w:pPr>
      <w:r>
        <w:rPr/>
        <w:t xml:space="preserve">Duurzaamheid: C5 — beleid op energie-efficiëntie, device-lifecycle, mobiliteit.</w:t>
      </w:r>
    </w:p>
    <w:p>
      <w:pPr>
        <w:numPr>
          <w:ilvl w:val="0"/>
          <w:numId w:val="23"/>
        </w:numPr>
        <w:spacing w:lineRule="auto"/>
      </w:pPr>
      <w:r>
        <w:rPr/>
        <w:t xml:space="preserve">Risicobeheersing: B2, A7, A9, A11 — risico’s geïdentificeerd en gemitigeerd met meetbare KPI’s.</w:t>
      </w:r>
    </w:p>
    <w:p>
      <w:pPr>
        <w:numPr>
          <w:ilvl w:val="0"/>
          <w:numId w:val="23"/>
        </w:numPr>
        <w:spacing w:lineRule="auto"/>
      </w:pPr>
      <w:r>
        <w:rPr/>
        <w:t xml:space="preserve">Prijs: Prijs is buiten deze bundel; PDCA-gestuurde efficiency (A14, C4) borgt kosteneffectiviteit zonder in te leveren op SLA.</w:t>
      </w:r>
    </w:p>
    <w:p>
      <w:pPr>
        <w:spacing w:lineRule="auto"/>
      </w:pPr>
      <w:r>
        <w:rPr/>
        <w:t xml:space="preserve">Overzicht met: Bijlage | Beschrijving | Relatie (W-xx/KO/REQ) | Status | Verwijzing (pag./sectie).</w:t>
      </w:r>
    </w:p>
    <w:p>
      <w:pPr>
        <w:numPr>
          <w:ilvl w:val="0"/>
          <w:numId w:val="24"/>
        </w:numPr>
        <w:spacing w:lineRule="auto"/>
      </w:pPr>
      <w:r>
        <w:rPr/>
        <w:t xml:space="preserve">Zie sectie “Overzicht bewijsstukken (Bijlage | Beschrijving | Relatie (W-xx/KO/REQ) | Status | Verwijzing)”.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Bewijsstukkenbundel</dc:title>
  <dc:subject/>
  <dc:creator>html-to-docx</dc:creator>
  <cp:keywords>html-to-docx</cp:keywords>
  <dc:description/>
  <cp:lastModifiedBy>html-to-docx</cp:lastModifiedBy>
  <cp:revision>1</cp:revision>
  <dcterms:created xsi:type="dcterms:W3CDTF">2025-11-26T07:18:14.781Z</dcterms:created>
  <dcterms:modified xsi:type="dcterms:W3CDTF">2025-11-26T07:18:14.781Z</dcterms:modified>
</cp:coreProperties>
</file>