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Nota van Inlichtingen — Clarificaties</w:t>
      </w:r>
    </w:p>
    <w:p>
      <w:pPr>
        <w:pStyle w:val="Heading2"/>
        <w:spacing w:lineRule="auto"/>
      </w:pPr>
      <w:r>
        <w:rPr/>
        <w:t xml:space="preserve">Uno Automatiseringdiensten B.V. — Raamovereenkomst Catering- en Horecadiensten voor Gemeente Middenstad</w:t>
      </w:r>
    </w:p>
    <w:p>
      <w:pPr>
        <w:spacing w:lineRule="auto"/>
      </w:pPr>
      <w:r>
        <w:rPr/>
        <w:t xml:space="preserve">     26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NvI – Gerichte clarificatievragen (prioriteit, impact, afhankelijkheden) met W–KPI–Risico–Bewijs kruisverbanden</w:t>
      </w:r>
    </w:p>
    <w:p>
      <w:pPr>
        <w:spacing w:lineRule="auto"/>
      </w:pPr>
      <w:r>
        <w:rPr/>
        <w:t xml:space="preserve">W-01 Scope- en opdrachtgever-inconsistentie (titel vs. inhoud)</w:t>
      </w:r>
    </w:p>
    <w:p>
      <w:pPr>
        <w:numPr>
          <w:ilvl w:val="0"/>
          <w:numId w:val="1"/>
        </w:numPr>
        <w:spacing w:lineRule="auto"/>
      </w:pPr>
      <w:r>
        <w:rPr/>
        <w:t xml:space="preserve">Vraag (SMART, PDCA): Bevestig uiterlijk vóór publicatie NvI-2 of de opdracht ICT-beheer betreft (zoals scope, KO’s en SLA’s aangeven) óf catering/horeca (zoals de titel suggereert), en bevestig de juiste aanbestedende dienst (Gemeente Middenstad vs. NVAO). Plan: eenduidige scope; Do: corrigendum; Check: gewijzigde stukken; Act: Q&amp;A bijsturen.</w:t>
      </w:r>
    </w:p>
    <w:p>
      <w:pPr>
        <w:numPr>
          <w:ilvl w:val="0"/>
          <w:numId w:val="1"/>
        </w:numPr>
        <w:spacing w:lineRule="auto"/>
      </w:pPr>
      <w:r>
        <w:rPr/>
        <w:t xml:space="preserve">Prioriteit: Hoog</w:t>
      </w:r>
    </w:p>
    <w:p>
      <w:pPr>
        <w:numPr>
          <w:ilvl w:val="0"/>
          <w:numId w:val="1"/>
        </w:numPr>
        <w:spacing w:lineRule="auto"/>
      </w:pPr>
      <w:r>
        <w:rPr/>
        <w:t xml:space="preserve">Impact: Onjuiste offerte-inhoud, risico op ongeldig bod.</w:t>
      </w:r>
    </w:p>
    <w:p>
      <w:pPr>
        <w:numPr>
          <w:ilvl w:val="0"/>
          <w:numId w:val="1"/>
        </w:numPr>
        <w:spacing w:lineRule="auto"/>
      </w:pPr>
      <w:r>
        <w:rPr/>
        <w:t xml:space="preserve">Afhankelijkheden: Beschrijvend document, concept-overeenkomst.</w:t>
      </w:r>
    </w:p>
    <w:p>
      <w:pPr>
        <w:numPr>
          <w:ilvl w:val="0"/>
          <w:numId w:val="1"/>
        </w:numPr>
        <w:spacing w:lineRule="auto"/>
      </w:pPr>
      <w:r>
        <w:rPr/>
        <w:t xml:space="preserve">KPI-koppeling: Niet van toepassing direct; randvoorwaarde voor alle KPI’s.</w:t>
      </w:r>
    </w:p>
    <w:p>
      <w:pPr>
        <w:numPr>
          <w:ilvl w:val="0"/>
          <w:numId w:val="1"/>
        </w:numPr>
        <w:spacing w:lineRule="auto"/>
      </w:pPr>
      <w:r>
        <w:rPr/>
        <w:t xml:space="preserve">Risico (R-01): Scope mismatch → niet-conform inschrijving.</w:t>
      </w:r>
    </w:p>
    <w:p>
      <w:pPr>
        <w:numPr>
          <w:ilvl w:val="0"/>
          <w:numId w:val="1"/>
        </w:numPr>
        <w:spacing w:lineRule="auto"/>
      </w:pPr>
      <w:r>
        <w:rPr/>
        <w:t xml:space="preserve">Bewijs: Gecorrigeerde titel, referentie- en scopeparagraaf, vastgestelde aanbestedende dienst.</w:t>
      </w:r>
    </w:p>
    <w:p>
      <w:pPr>
        <w:spacing w:lineRule="auto"/>
      </w:pPr>
      <w:r>
        <w:rPr/>
        <w:t xml:space="preserve">W-02 Omvang en perimeter (locaties, gebruikers, assets, M365)</w:t>
      </w:r>
    </w:p>
    <w:p>
      <w:pPr>
        <w:numPr>
          <w:ilvl w:val="0"/>
          <w:numId w:val="2"/>
        </w:numPr>
        <w:spacing w:lineRule="auto"/>
      </w:pPr>
      <w:r>
        <w:rPr/>
        <w:t xml:space="preserve">Vraag (SMART, PDCA): Lever een asset- en service-inventaris (aantal locaties, gebruikers, endpoints, servers, netwerkdevices, kritieke systemen; M365-tenant(s) en modules zoals Exchange, Teams, SharePoint, Intune/Entra) vóór NvI-2. Plan: dimensionering; Do: staffing/monitoring inrichten; Check: onboarding-acceptatie; Act: bijsturen CMDB.</w:t>
      </w:r>
    </w:p>
    <w:p>
      <w:pPr>
        <w:numPr>
          <w:ilvl w:val="0"/>
          <w:numId w:val="2"/>
        </w:numPr>
        <w:spacing w:lineRule="auto"/>
      </w:pPr>
      <w:r>
        <w:rPr/>
        <w:t xml:space="preserve">Prioriteit: Hoog</w:t>
      </w:r>
    </w:p>
    <w:p>
      <w:pPr>
        <w:numPr>
          <w:ilvl w:val="0"/>
          <w:numId w:val="2"/>
        </w:numPr>
        <w:spacing w:lineRule="auto"/>
      </w:pPr>
      <w:r>
        <w:rPr/>
        <w:t xml:space="preserve">Impact: Dimensionering van 24/7 support, licenties, tooling en KPI-haalbaarheid.</w:t>
      </w:r>
    </w:p>
    <w:p>
      <w:pPr>
        <w:numPr>
          <w:ilvl w:val="0"/>
          <w:numId w:val="2"/>
        </w:numPr>
        <w:spacing w:lineRule="auto"/>
      </w:pPr>
      <w:r>
        <w:rPr/>
        <w:t xml:space="preserve">Afhankelijkheden: Huidige CMDB, netwerkdiagrammen, licentieoverzicht.</w:t>
      </w:r>
    </w:p>
    <w:p>
      <w:pPr>
        <w:numPr>
          <w:ilvl w:val="0"/>
          <w:numId w:val="2"/>
        </w:numPr>
        <w:spacing w:lineRule="auto"/>
      </w:pPr>
      <w:r>
        <w:rPr/>
        <w:t xml:space="preserve">KPI-koppeling: Beschikbaarheid 99,8%; Responstijd P1; Oplostijd P1.</w:t>
      </w:r>
    </w:p>
    <w:p>
      <w:pPr>
        <w:numPr>
          <w:ilvl w:val="0"/>
          <w:numId w:val="2"/>
        </w:numPr>
        <w:spacing w:lineRule="auto"/>
      </w:pPr>
      <w:r>
        <w:rPr/>
        <w:t xml:space="preserve">Risico (R-02): Onderdimensionering → SLA-overschrijding.</w:t>
      </w:r>
    </w:p>
    <w:p>
      <w:pPr>
        <w:numPr>
          <w:ilvl w:val="0"/>
          <w:numId w:val="2"/>
        </w:numPr>
        <w:spacing w:lineRule="auto"/>
      </w:pPr>
      <w:r>
        <w:rPr/>
        <w:t xml:space="preserve">Bewijs: Export CMDB, netwerkschema’s, M365 licentie- en modulelijst, kritieke-systeemlijst.</w:t>
      </w:r>
    </w:p>
    <w:p>
      <w:pPr>
        <w:spacing w:lineRule="auto"/>
      </w:pPr>
      <w:r>
        <w:rPr/>
        <w:t xml:space="preserve">W-03 Definiëring P1/P2, meldkanalen en meetmoment responstijd</w:t>
      </w:r>
    </w:p>
    <w:p>
      <w:pPr>
        <w:numPr>
          <w:ilvl w:val="0"/>
          <w:numId w:val="3"/>
        </w:numPr>
        <w:spacing w:lineRule="auto"/>
      </w:pPr>
      <w:r>
        <w:rPr/>
        <w:t xml:space="preserve">Vraag (SMART, PDCA): Bevestig de P-classificaties, meldkanalen (telefoon, portal, e-mail), meetpunt responstijd &lt;30 min (melding geregistreerd vs. detectie), servicevenster (24/7), taal en timezone vóór gunning. Plan: SLA-definitie; Do: serviceproces; Check: maandrapport; Act: tuning drempels.</w:t>
      </w:r>
    </w:p>
    <w:p>
      <w:pPr>
        <w:numPr>
          <w:ilvl w:val="0"/>
          <w:numId w:val="3"/>
        </w:numPr>
        <w:spacing w:lineRule="auto"/>
      </w:pPr>
      <w:r>
        <w:rPr/>
        <w:t xml:space="preserve">Prioriteit: Hoog</w:t>
      </w:r>
    </w:p>
    <w:p>
      <w:pPr>
        <w:numPr>
          <w:ilvl w:val="0"/>
          <w:numId w:val="3"/>
        </w:numPr>
        <w:spacing w:lineRule="auto"/>
      </w:pPr>
      <w:r>
        <w:rPr/>
        <w:t xml:space="preserve">Impact: Directe SLA-naleving en bemensing.</w:t>
      </w:r>
    </w:p>
    <w:p>
      <w:pPr>
        <w:numPr>
          <w:ilvl w:val="0"/>
          <w:numId w:val="3"/>
        </w:numPr>
        <w:spacing w:lineRule="auto"/>
      </w:pPr>
      <w:r>
        <w:rPr/>
        <w:t xml:space="preserve">Afhankelijkheden: ITIL-processen, meldprocedures.</w:t>
      </w:r>
    </w:p>
    <w:p>
      <w:pPr>
        <w:numPr>
          <w:ilvl w:val="0"/>
          <w:numId w:val="3"/>
        </w:numPr>
        <w:spacing w:lineRule="auto"/>
      </w:pPr>
      <w:r>
        <w:rPr/>
        <w:t xml:space="preserve">KPI-koppeling: Responstijd P1 &lt;30 min; Oplostijd P1 &lt;4 uur.</w:t>
      </w:r>
    </w:p>
    <w:p>
      <w:pPr>
        <w:numPr>
          <w:ilvl w:val="0"/>
          <w:numId w:val="3"/>
        </w:numPr>
        <w:spacing w:lineRule="auto"/>
      </w:pPr>
      <w:r>
        <w:rPr/>
        <w:t xml:space="preserve">Risico (R-03): Ambiguïteit → dispuut over SLA.</w:t>
      </w:r>
    </w:p>
    <w:p>
      <w:pPr>
        <w:numPr>
          <w:ilvl w:val="0"/>
          <w:numId w:val="3"/>
        </w:numPr>
        <w:spacing w:lineRule="auto"/>
      </w:pPr>
      <w:r>
        <w:rPr/>
        <w:t xml:space="preserve">Bewijs: SLA-definitiedocument, meld- en escalatieprocedure, rapportagesjabloon.</w:t>
      </w:r>
    </w:p>
    <w:p>
      <w:pPr>
        <w:spacing w:lineRule="auto"/>
      </w:pPr>
      <w:r>
        <w:rPr/>
        <w:t xml:space="preserve">W-04 Beschikbaarheid 99,8% – definitie, scope en uitzonderingen</w:t>
      </w:r>
    </w:p>
    <w:p>
      <w:pPr>
        <w:numPr>
          <w:ilvl w:val="0"/>
          <w:numId w:val="4"/>
        </w:numPr>
        <w:spacing w:lineRule="auto"/>
      </w:pPr>
      <w:r>
        <w:rPr/>
        <w:t xml:space="preserve">Vraag (SMART, PDCA): Leg vast (per kritieke dienst) de servicevensters, wat de noemer is (minuten per maand), uitsluitingen (geplande maintenance, overmacht, klantchanges), single-point-of-failure, en samengestelde meting (per dienst of gewogen) vóór gunning. Plan: SLO’s; Do: redundantie/maintenance; Check: uptime-rapport; Act: verbeterplan.</w:t>
      </w:r>
    </w:p>
    <w:p>
      <w:pPr>
        <w:numPr>
          <w:ilvl w:val="0"/>
          <w:numId w:val="4"/>
        </w:numPr>
        <w:spacing w:lineRule="auto"/>
      </w:pPr>
      <w:r>
        <w:rPr/>
        <w:t xml:space="preserve">Prioriteit: Hoog</w:t>
      </w:r>
    </w:p>
    <w:p>
      <w:pPr>
        <w:numPr>
          <w:ilvl w:val="0"/>
          <w:numId w:val="4"/>
        </w:numPr>
        <w:spacing w:lineRule="auto"/>
      </w:pPr>
      <w:r>
        <w:rPr/>
        <w:t xml:space="preserve">Impact: Architectuurkeuzes, onderhoudsvensters, rapportage.</w:t>
      </w:r>
    </w:p>
    <w:p>
      <w:pPr>
        <w:numPr>
          <w:ilvl w:val="0"/>
          <w:numId w:val="4"/>
        </w:numPr>
        <w:spacing w:lineRule="auto"/>
      </w:pPr>
      <w:r>
        <w:rPr/>
        <w:t xml:space="preserve">Afhankelijkheden: Lijst kritieke systemen, onderhoudskalender.</w:t>
      </w:r>
    </w:p>
    <w:p>
      <w:pPr>
        <w:numPr>
          <w:ilvl w:val="0"/>
          <w:numId w:val="4"/>
        </w:numPr>
        <w:spacing w:lineRule="auto"/>
      </w:pPr>
      <w:r>
        <w:rPr/>
        <w:t xml:space="preserve">KPI-koppeling: Beschikbaarheid 99,8% per maand.</w:t>
      </w:r>
    </w:p>
    <w:p>
      <w:pPr>
        <w:numPr>
          <w:ilvl w:val="0"/>
          <w:numId w:val="4"/>
        </w:numPr>
        <w:spacing w:lineRule="auto"/>
      </w:pPr>
      <w:r>
        <w:rPr/>
        <w:t xml:space="preserve">Risico (R-04): Onterechte downtime-registratie → malus/claim.</w:t>
      </w:r>
    </w:p>
    <w:p>
      <w:pPr>
        <w:numPr>
          <w:ilvl w:val="0"/>
          <w:numId w:val="4"/>
        </w:numPr>
        <w:spacing w:lineRule="auto"/>
      </w:pPr>
      <w:r>
        <w:rPr/>
        <w:t xml:space="preserve">Bewijs: SLO-matrix, maintenance policy, uptime-dashboarddefinitie.</w:t>
      </w:r>
    </w:p>
    <w:p>
      <w:pPr>
        <w:spacing w:lineRule="auto"/>
      </w:pPr>
      <w:r>
        <w:rPr/>
        <w:t xml:space="preserve">W-05 Dataverwerking uitsluitend EU, verwerkers en VOG-eisen</w:t>
      </w:r>
    </w:p>
    <w:p>
      <w:pPr>
        <w:numPr>
          <w:ilvl w:val="0"/>
          <w:numId w:val="5"/>
        </w:numPr>
        <w:spacing w:lineRule="auto"/>
      </w:pPr>
      <w:r>
        <w:rPr/>
        <w:t xml:space="preserve">Vraag (SMART, PDCA): Bevestig of US/Global services (bijv. M365 telemetry/logging, support) zijn toegestaan; leg subverwerkerlijst en DPA/AVG-kaders (DPIA, verwerkingslocaties) vast, inclusief VOG-verplichting per rol en doorlooptijden. Plan: compliance; Do: contractering; Check: audit; Act: substitutie waar nodig.</w:t>
      </w:r>
    </w:p>
    <w:p>
      <w:pPr>
        <w:numPr>
          <w:ilvl w:val="0"/>
          <w:numId w:val="5"/>
        </w:numPr>
        <w:spacing w:lineRule="auto"/>
      </w:pPr>
      <w:r>
        <w:rPr/>
        <w:t xml:space="preserve">Prioriteit: Hoog</w:t>
      </w:r>
    </w:p>
    <w:p>
      <w:pPr>
        <w:numPr>
          <w:ilvl w:val="0"/>
          <w:numId w:val="5"/>
        </w:numPr>
        <w:spacing w:lineRule="auto"/>
      </w:pPr>
      <w:r>
        <w:rPr/>
        <w:t xml:space="preserve">Impact: Toolingkeuze, supportmodellen, tijdlijnen onboarding personeel.</w:t>
      </w:r>
    </w:p>
    <w:p>
      <w:pPr>
        <w:numPr>
          <w:ilvl w:val="0"/>
          <w:numId w:val="5"/>
        </w:numPr>
        <w:spacing w:lineRule="auto"/>
      </w:pPr>
      <w:r>
        <w:rPr/>
        <w:t xml:space="preserve">Afhankelijkheden: Juridische voorwaarden, DPA, security policy.</w:t>
      </w:r>
    </w:p>
    <w:p>
      <w:pPr>
        <w:numPr>
          <w:ilvl w:val="0"/>
          <w:numId w:val="5"/>
        </w:numPr>
        <w:spacing w:lineRule="auto"/>
      </w:pPr>
      <w:r>
        <w:rPr/>
        <w:t xml:space="preserve">KPI-koppeling: Security compliance (indirect aan beschikbaarheid).</w:t>
      </w:r>
    </w:p>
    <w:p>
      <w:pPr>
        <w:numPr>
          <w:ilvl w:val="0"/>
          <w:numId w:val="5"/>
        </w:numPr>
        <w:spacing w:lineRule="auto"/>
      </w:pPr>
      <w:r>
        <w:rPr/>
        <w:t xml:space="preserve">Risico (R-05): AVG-non-compliance → sancties, datarisico.</w:t>
      </w:r>
    </w:p>
    <w:p>
      <w:pPr>
        <w:numPr>
          <w:ilvl w:val="0"/>
          <w:numId w:val="5"/>
        </w:numPr>
        <w:spacing w:lineRule="auto"/>
      </w:pPr>
      <w:r>
        <w:rPr/>
        <w:t xml:space="preserve">Bewijs: DPA, subverwerkersregister, DPIA, VOG-proces en voorbeeldverklaringen.</w:t>
      </w:r>
    </w:p>
    <w:p>
      <w:pPr>
        <w:spacing w:lineRule="auto"/>
      </w:pPr>
      <w:r>
        <w:rPr/>
        <w:t xml:space="preserve">W-06 Monitoring &amp; patchmanagement – scope, vensters en deadlines</w:t>
      </w:r>
    </w:p>
    <w:p>
      <w:pPr>
        <w:numPr>
          <w:ilvl w:val="0"/>
          <w:numId w:val="6"/>
        </w:numPr>
        <w:spacing w:lineRule="auto"/>
      </w:pPr>
      <w:r>
        <w:rPr/>
        <w:t xml:space="preserve">Vraag (SMART, PDCA): Bevestig scope (OS, netwerk, hypervisors, endpoints, 3rd-party apps), kritieke patchdeadlines (bijv. P1 ≤ 7 dagen, P2 ≤ 30 dagen), reboot/maintenancevensters en change-governance. Plan: patchpolicy; Do: uitrol; Check: compliance-rapport; Act: non-compliance handling.</w:t>
      </w:r>
    </w:p>
    <w:p>
      <w:pPr>
        <w:numPr>
          <w:ilvl w:val="0"/>
          <w:numId w:val="6"/>
        </w:numPr>
        <w:spacing w:lineRule="auto"/>
      </w:pPr>
      <w:r>
        <w:rPr/>
        <w:t xml:space="preserve">Prioriteit: Hoog</w:t>
      </w:r>
    </w:p>
    <w:p>
      <w:pPr>
        <w:numPr>
          <w:ilvl w:val="0"/>
          <w:numId w:val="6"/>
        </w:numPr>
        <w:spacing w:lineRule="auto"/>
      </w:pPr>
      <w:r>
        <w:rPr/>
        <w:t xml:space="preserve">Impact: Vensterplanning, toolselectie, resourceplanning.</w:t>
      </w:r>
    </w:p>
    <w:p>
      <w:pPr>
        <w:numPr>
          <w:ilvl w:val="0"/>
          <w:numId w:val="6"/>
        </w:numPr>
        <w:spacing w:lineRule="auto"/>
      </w:pPr>
      <w:r>
        <w:rPr/>
        <w:t xml:space="preserve">Afhankelijkheden: Lijst systemen/applicaties, maintenancepolicy.</w:t>
      </w:r>
    </w:p>
    <w:p>
      <w:pPr>
        <w:numPr>
          <w:ilvl w:val="0"/>
          <w:numId w:val="6"/>
        </w:numPr>
        <w:spacing w:lineRule="auto"/>
      </w:pPr>
      <w:r>
        <w:rPr/>
        <w:t xml:space="preserve">KPI-koppeling: Beschikbaarheid; Patching compliance (toevoegen).</w:t>
      </w:r>
    </w:p>
    <w:p>
      <w:pPr>
        <w:numPr>
          <w:ilvl w:val="0"/>
          <w:numId w:val="6"/>
        </w:numPr>
        <w:spacing w:lineRule="auto"/>
      </w:pPr>
      <w:r>
        <w:rPr/>
        <w:t xml:space="preserve">Risico (R-06): Ongepatcht → security-incident/uitval.</w:t>
      </w:r>
    </w:p>
    <w:p>
      <w:pPr>
        <w:numPr>
          <w:ilvl w:val="0"/>
          <w:numId w:val="6"/>
        </w:numPr>
        <w:spacing w:lineRule="auto"/>
      </w:pPr>
      <w:r>
        <w:rPr/>
        <w:t xml:space="preserve">Bewijs: Patchpolicy, CAB-proces, maandelijkse compliance-rapporten.</w:t>
      </w:r>
    </w:p>
    <w:p>
      <w:pPr>
        <w:spacing w:lineRule="auto"/>
      </w:pPr>
      <w:r>
        <w:rPr/>
        <w:t xml:space="preserve">W-07 Continuïteit (BCP/DR): RTO/RPO, testfrequentie en verantwoordelijkheden</w:t>
      </w:r>
    </w:p>
    <w:p>
      <w:pPr>
        <w:numPr>
          <w:ilvl w:val="0"/>
          <w:numId w:val="7"/>
        </w:numPr>
        <w:spacing w:lineRule="auto"/>
      </w:pPr>
      <w:r>
        <w:rPr/>
        <w:t xml:space="preserve">Vraag (SMART, PDCA): Stel per kritieke dienst RTO/RPO vast, eigenaarschap (wie levert DR-site/data), testfrequentie (min. 1x/jaar) en acceptatiecriteria vóór gunning. Plan: BCP/DR; Do: failover-oefeningen; Check: testverslag; Act: remediatieplan.</w:t>
      </w:r>
    </w:p>
    <w:p>
      <w:pPr>
        <w:numPr>
          <w:ilvl w:val="0"/>
          <w:numId w:val="7"/>
        </w:numPr>
        <w:spacing w:lineRule="auto"/>
      </w:pPr>
      <w:r>
        <w:rPr/>
        <w:t xml:space="preserve">Prioriteit: Hoog</w:t>
      </w:r>
    </w:p>
    <w:p>
      <w:pPr>
        <w:numPr>
          <w:ilvl w:val="0"/>
          <w:numId w:val="7"/>
        </w:numPr>
        <w:spacing w:lineRule="auto"/>
      </w:pPr>
      <w:r>
        <w:rPr/>
        <w:t xml:space="preserve">Impact: Architectuur, kosten, testplanning.</w:t>
      </w:r>
    </w:p>
    <w:p>
      <w:pPr>
        <w:numPr>
          <w:ilvl w:val="0"/>
          <w:numId w:val="7"/>
        </w:numPr>
        <w:spacing w:lineRule="auto"/>
      </w:pPr>
      <w:r>
        <w:rPr/>
        <w:t xml:space="preserve">Afhankelijkheden: Dataclassificatie, huidige back-up/DR-middelen.</w:t>
      </w:r>
    </w:p>
    <w:p>
      <w:pPr>
        <w:numPr>
          <w:ilvl w:val="0"/>
          <w:numId w:val="7"/>
        </w:numPr>
        <w:spacing w:lineRule="auto"/>
      </w:pPr>
      <w:r>
        <w:rPr/>
        <w:t xml:space="preserve">KPI-koppeling: Beschikbaarheid; Hersteltijd in lijn met RTO.</w:t>
      </w:r>
    </w:p>
    <w:p>
      <w:pPr>
        <w:numPr>
          <w:ilvl w:val="0"/>
          <w:numId w:val="7"/>
        </w:numPr>
        <w:spacing w:lineRule="auto"/>
      </w:pPr>
      <w:r>
        <w:rPr/>
        <w:t xml:space="preserve">Risico (R-07): Onvoldoende herstel → langdurige downtime.</w:t>
      </w:r>
    </w:p>
    <w:p>
      <w:pPr>
        <w:numPr>
          <w:ilvl w:val="0"/>
          <w:numId w:val="7"/>
        </w:numPr>
        <w:spacing w:lineRule="auto"/>
      </w:pPr>
      <w:r>
        <w:rPr/>
        <w:t xml:space="preserve">Bewijs: BCP/DR-plan, testrapporten, herstelrunbooks.</w:t>
      </w:r>
    </w:p>
    <w:p>
      <w:pPr>
        <w:spacing w:lineRule="auto"/>
      </w:pPr>
      <w:r>
        <w:rPr/>
        <w:t xml:space="preserve">W-08 Escalatie &amp; governance: rolverdeling, CAB en evaluaties</w:t>
      </w:r>
    </w:p>
    <w:p>
      <w:pPr>
        <w:numPr>
          <w:ilvl w:val="0"/>
          <w:numId w:val="8"/>
        </w:numPr>
        <w:spacing w:lineRule="auto"/>
      </w:pPr>
      <w:r>
        <w:rPr/>
        <w:t xml:space="preserve">Vraag (SMART, PDCA): Bevestig SPOC’s, escalatieladders, CAB-samenstelling, frequentie van operationele/strategische overleggen (bijv. maandelijks/kwartaal) en doorlooptijden voor change-approval. Plan: governance; Do: overlegcyclus; Check: KPI-review; Act: verbeteractiesregister.</w:t>
      </w:r>
    </w:p>
    <w:p>
      <w:pPr>
        <w:numPr>
          <w:ilvl w:val="0"/>
          <w:numId w:val="8"/>
        </w:numPr>
        <w:spacing w:lineRule="auto"/>
      </w:pPr>
      <w:r>
        <w:rPr/>
        <w:t xml:space="preserve">Prioriteit: Middel</w:t>
      </w:r>
    </w:p>
    <w:p>
      <w:pPr>
        <w:numPr>
          <w:ilvl w:val="0"/>
          <w:numId w:val="8"/>
        </w:numPr>
        <w:spacing w:lineRule="auto"/>
      </w:pPr>
      <w:r>
        <w:rPr/>
        <w:t xml:space="preserve">Impact: Besluitvormingstempo, doorlooptijd changes.</w:t>
      </w:r>
    </w:p>
    <w:p>
      <w:pPr>
        <w:numPr>
          <w:ilvl w:val="0"/>
          <w:numId w:val="8"/>
        </w:numPr>
        <w:spacing w:lineRule="auto"/>
      </w:pPr>
      <w:r>
        <w:rPr/>
        <w:t xml:space="preserve">Afhankelijkheden: Organogram, changebeleid.</w:t>
      </w:r>
    </w:p>
    <w:p>
      <w:pPr>
        <w:numPr>
          <w:ilvl w:val="0"/>
          <w:numId w:val="8"/>
        </w:numPr>
        <w:spacing w:lineRule="auto"/>
      </w:pPr>
      <w:r>
        <w:rPr/>
        <w:t xml:space="preserve">KPI-koppeling: Oplostijd P1; doorlooptijd changes (toevoegen).</w:t>
      </w:r>
    </w:p>
    <w:p>
      <w:pPr>
        <w:numPr>
          <w:ilvl w:val="0"/>
          <w:numId w:val="8"/>
        </w:numPr>
        <w:spacing w:lineRule="auto"/>
      </w:pPr>
      <w:r>
        <w:rPr/>
        <w:t xml:space="preserve">Risico (R-08): Besluitvertraging → SLA-risico.</w:t>
      </w:r>
    </w:p>
    <w:p>
      <w:pPr>
        <w:numPr>
          <w:ilvl w:val="0"/>
          <w:numId w:val="8"/>
        </w:numPr>
        <w:spacing w:lineRule="auto"/>
      </w:pPr>
      <w:r>
        <w:rPr/>
        <w:t xml:space="preserve">Bewijs: RACI, vergaderkalender en notulenformat, escalatieschema.</w:t>
      </w:r>
    </w:p>
    <w:p>
      <w:pPr>
        <w:spacing w:lineRule="auto"/>
      </w:pPr>
      <w:r>
        <w:rPr/>
        <w:t xml:space="preserve">W-09 Contractuele kaders raamovereenkomst: looptijd, modaliteiten en volume</w:t>
      </w:r>
    </w:p>
    <w:p>
      <w:pPr>
        <w:numPr>
          <w:ilvl w:val="0"/>
          <w:numId w:val="9"/>
        </w:numPr>
        <w:spacing w:lineRule="auto"/>
      </w:pPr>
      <w:r>
        <w:rPr/>
        <w:t xml:space="preserve">Vraag (SMART, PDCA): Bevestig looptijd (bijv. 2+2 jaar), single- of multi-vendor, min/max afname of volume-indicatie (aantal seats/locaties), afroepmechanisme en exit/transition-in/out verplichtingen met termijnen. Plan: resourcing; Do: transitieplan; Check: exit-criteria; Act: overdrachtsdraaiboek.</w:t>
      </w:r>
    </w:p>
    <w:p>
      <w:pPr>
        <w:numPr>
          <w:ilvl w:val="0"/>
          <w:numId w:val="9"/>
        </w:numPr>
        <w:spacing w:lineRule="auto"/>
      </w:pPr>
      <w:r>
        <w:rPr/>
        <w:t xml:space="preserve">Prioriteit: Hoog</w:t>
      </w:r>
    </w:p>
    <w:p>
      <w:pPr>
        <w:numPr>
          <w:ilvl w:val="0"/>
          <w:numId w:val="9"/>
        </w:numPr>
        <w:spacing w:lineRule="auto"/>
      </w:pPr>
      <w:r>
        <w:rPr/>
        <w:t xml:space="preserve">Impact: Prijsstelling, capaciteit, risicoreservering.</w:t>
      </w:r>
    </w:p>
    <w:p>
      <w:pPr>
        <w:numPr>
          <w:ilvl w:val="0"/>
          <w:numId w:val="9"/>
        </w:numPr>
        <w:spacing w:lineRule="auto"/>
      </w:pPr>
      <w:r>
        <w:rPr/>
        <w:t xml:space="preserve">Afhankelijkheden: Concept-raamovereenkomst, DVO’s.</w:t>
      </w:r>
    </w:p>
    <w:p>
      <w:pPr>
        <w:numPr>
          <w:ilvl w:val="0"/>
          <w:numId w:val="9"/>
        </w:numPr>
        <w:spacing w:lineRule="auto"/>
      </w:pPr>
      <w:r>
        <w:rPr/>
        <w:t xml:space="preserve">KPI-koppeling: Transitie-KPI’s (toevoegen); continuïteit.</w:t>
      </w:r>
    </w:p>
    <w:p>
      <w:pPr>
        <w:numPr>
          <w:ilvl w:val="0"/>
          <w:numId w:val="9"/>
        </w:numPr>
        <w:spacing w:lineRule="auto"/>
      </w:pPr>
      <w:r>
        <w:rPr/>
        <w:t xml:space="preserve">Risico (R-09): Onvoldoende volumezekerheid → prijs-/capaciteitsrisico.</w:t>
      </w:r>
    </w:p>
    <w:p>
      <w:pPr>
        <w:numPr>
          <w:ilvl w:val="0"/>
          <w:numId w:val="9"/>
        </w:numPr>
        <w:spacing w:lineRule="auto"/>
      </w:pPr>
      <w:r>
        <w:rPr/>
        <w:t xml:space="preserve">Bewijs: Concept-contract, exitplan, transitie-Gantt.</w:t>
      </w:r>
    </w:p>
    <w:p>
      <w:pPr>
        <w:spacing w:lineRule="auto"/>
      </w:pPr>
      <w:r>
        <w:rPr/>
        <w:t xml:space="preserve">W-10 EMVI-uitwerking: subcriteria, scorematrix en duurzaamheidseisen</w:t>
      </w:r>
    </w:p>
    <w:p>
      <w:pPr>
        <w:numPr>
          <w:ilvl w:val="0"/>
          <w:numId w:val="10"/>
        </w:numPr>
        <w:spacing w:lineRule="auto"/>
      </w:pPr>
      <w:r>
        <w:rPr/>
        <w:t xml:space="preserve">Vraag (SMART, PDCA): Publiceer scorematrix met subcriteria en wegingsfactoren per thema (Kwaliteit 40, Duurzaamheid 20, Risicobeheersing 20, Prijs 20), max. pagina’s (bijv. 6 EMVI), prijsmodel (indexatie, malus/bonus op SLA), en concrete duurzaamheidsdoelen (bijv. CO2-reductie, energieverbruik datacenter, circulariteit hardware) vóór NvI-2. Plan: aanbodstrategie; Do: invulling; Check: self-assessment; Act: optimalisatie.</w:t>
      </w:r>
    </w:p>
    <w:p>
      <w:pPr>
        <w:numPr>
          <w:ilvl w:val="0"/>
          <w:numId w:val="10"/>
        </w:numPr>
        <w:spacing w:lineRule="auto"/>
      </w:pPr>
      <w:r>
        <w:rPr/>
        <w:t xml:space="preserve">Prioriteit: Middel</w:t>
      </w:r>
    </w:p>
    <w:p>
      <w:pPr>
        <w:numPr>
          <w:ilvl w:val="0"/>
          <w:numId w:val="10"/>
        </w:numPr>
        <w:spacing w:lineRule="auto"/>
      </w:pPr>
      <w:r>
        <w:rPr/>
        <w:t xml:space="preserve">Impact: Inhoud en focus van inschrijving, investeringen in duurzaamheid.</w:t>
      </w:r>
    </w:p>
    <w:p>
      <w:pPr>
        <w:numPr>
          <w:ilvl w:val="0"/>
          <w:numId w:val="10"/>
        </w:numPr>
        <w:spacing w:lineRule="auto"/>
      </w:pPr>
      <w:r>
        <w:rPr/>
        <w:t xml:space="preserve">Afhankelijkheden: Gunningleidraad, prijsformulieren.</w:t>
      </w:r>
    </w:p>
    <w:p>
      <w:pPr>
        <w:numPr>
          <w:ilvl w:val="0"/>
          <w:numId w:val="10"/>
        </w:numPr>
        <w:spacing w:lineRule="auto"/>
      </w:pPr>
      <w:r>
        <w:rPr/>
        <w:t xml:space="preserve">KPI-koppeling: SLA-KPI’s + duurzaamheids-KPI’s (toevoegen).</w:t>
      </w:r>
    </w:p>
    <w:p>
      <w:pPr>
        <w:numPr>
          <w:ilvl w:val="0"/>
          <w:numId w:val="10"/>
        </w:numPr>
        <w:spacing w:lineRule="auto"/>
      </w:pPr>
      <w:r>
        <w:rPr/>
        <w:t xml:space="preserve">Risico (R-10): Mismatch met beoordelingsverwachting → lagere score.</w:t>
      </w:r>
    </w:p>
    <w:p>
      <w:pPr>
        <w:numPr>
          <w:ilvl w:val="0"/>
          <w:numId w:val="10"/>
        </w:numPr>
        <w:spacing w:lineRule="auto"/>
      </w:pPr>
      <w:r>
        <w:rPr/>
        <w:t xml:space="preserve">Bewijs: Scorematrix, EMVI-richtsnoeren, prijs- en malus/bonusbijlage.</w:t>
      </w:r>
    </w:p>
    <w:p>
      <w:pPr>
        <w:spacing w:lineRule="auto"/>
      </w:pPr>
      <w:r>
        <w:rPr/>
        <w:t xml:space="preserve">Benodigde input:</w:t>
      </w:r>
    </w:p>
    <w:p>
      <w:pPr>
        <w:numPr>
          <w:ilvl w:val="0"/>
          <w:numId w:val="11"/>
        </w:numPr>
        <w:spacing w:lineRule="auto"/>
      </w:pPr>
      <w:r>
        <w:rPr/>
        <w:t xml:space="preserve">W-01: Bevestiging definitieve scope (ICT-beheer) en correcte aanbestedende dienst.</w:t>
      </w:r>
    </w:p>
    <w:p>
      <w:pPr>
        <w:numPr>
          <w:ilvl w:val="0"/>
          <w:numId w:val="11"/>
        </w:numPr>
        <w:spacing w:lineRule="auto"/>
      </w:pPr>
      <w:r>
        <w:rPr/>
        <w:t xml:space="preserve">W-02: Asset- en service-inventaris (locaties, gebruikers, endpoints/servers/netwerk, kritieke systemen, M365-modules).</w:t>
      </w:r>
    </w:p>
    <w:p>
      <w:pPr>
        <w:numPr>
          <w:ilvl w:val="0"/>
          <w:numId w:val="11"/>
        </w:numPr>
        <w:spacing w:lineRule="auto"/>
      </w:pPr>
      <w:r>
        <w:rPr/>
        <w:t xml:space="preserve">W-03: P-classificatie, meldkanalen, servicevensters en meetdefinitie responstijd.</w:t>
      </w:r>
    </w:p>
    <w:p>
      <w:pPr>
        <w:numPr>
          <w:ilvl w:val="0"/>
          <w:numId w:val="11"/>
        </w:numPr>
        <w:spacing w:lineRule="auto"/>
      </w:pPr>
      <w:r>
        <w:rPr/>
        <w:t xml:space="preserve">W-04: SLO-definitie voor 99,8% beschikbaarheid incl. uitsluitingen en meetmethode.</w:t>
      </w:r>
    </w:p>
    <w:p>
      <w:pPr>
        <w:numPr>
          <w:ilvl w:val="0"/>
          <w:numId w:val="11"/>
        </w:numPr>
        <w:spacing w:lineRule="auto"/>
      </w:pPr>
      <w:r>
        <w:rPr/>
        <w:t xml:space="preserve">W-05: EU-dataverwerkingkaders, subverwerkerslijst, DPA/DPIA en VOG-eisen per rol.</w:t>
      </w:r>
    </w:p>
    <w:p>
      <w:pPr>
        <w:numPr>
          <w:ilvl w:val="0"/>
          <w:numId w:val="11"/>
        </w:numPr>
        <w:spacing w:lineRule="auto"/>
      </w:pPr>
      <w:r>
        <w:rPr/>
        <w:t xml:space="preserve">W-06: Scope patching/monitoring, patchdeadlines, maintenancevensters en CAB-regels.</w:t>
      </w:r>
    </w:p>
    <w:p>
      <w:pPr>
        <w:numPr>
          <w:ilvl w:val="0"/>
          <w:numId w:val="11"/>
        </w:numPr>
        <w:spacing w:lineRule="auto"/>
      </w:pPr>
      <w:r>
        <w:rPr/>
        <w:t xml:space="preserve">W-07: RTO/RPO per kritieke dienst, testfrequentie en verantwoordelijkheden DR.</w:t>
      </w:r>
    </w:p>
    <w:p>
      <w:pPr>
        <w:numPr>
          <w:ilvl w:val="0"/>
          <w:numId w:val="11"/>
        </w:numPr>
        <w:spacing w:lineRule="auto"/>
      </w:pPr>
      <w:r>
        <w:rPr/>
        <w:t xml:space="preserve">W-08: Governance- en escalatiestructuur, CAB-samenstelling en overlegfrequentie.</w:t>
      </w:r>
    </w:p>
    <w:p>
      <w:pPr>
        <w:numPr>
          <w:ilvl w:val="0"/>
          <w:numId w:val="11"/>
        </w:numPr>
        <w:spacing w:lineRule="auto"/>
      </w:pPr>
      <w:r>
        <w:rPr/>
        <w:t xml:space="preserve">W-09: Raamovereenkomstduur, single/multi-vendor, volume-indicatie, afroep en exit/transition.</w:t>
      </w:r>
    </w:p>
    <w:p>
      <w:pPr>
        <w:numPr>
          <w:ilvl w:val="0"/>
          <w:numId w:val="11"/>
        </w:numPr>
        <w:spacing w:lineRule="auto"/>
      </w:pPr>
      <w:r>
        <w:rPr/>
        <w:t xml:space="preserve">W-10: EMVI-scorematrix met subcriteria, pagina- en prijsmodelkaders en duurzaamheidseisen.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 van Inlichtingen — Clarificaties</dc:title>
  <dc:subject/>
  <dc:creator>html-to-docx</dc:creator>
  <cp:keywords>html-to-docx</cp:keywords>
  <dc:description/>
  <cp:lastModifiedBy>html-to-docx</cp:lastModifiedBy>
  <cp:revision>1</cp:revision>
  <dcterms:created xsi:type="dcterms:W3CDTF">2025-11-26T07:18:14.781Z</dcterms:created>
  <dcterms:modified xsi:type="dcterms:W3CDTF">2025-11-26T07:18:14.781Z</dcterms:modified>
</cp:coreProperties>
</file>