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Compliance Matrix (UEA / KO / REQ)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26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Compliance — Raamovereenkomst Catering- en Horecadiensten voor Gemeente Middenstad (Project 1380)</w:t>
      </w:r>
    </w:p>
    <w:p>
      <w:pPr>
        <w:spacing w:lineRule="auto"/>
      </w:pPr>
      <w:r>
        <w:rPr/>
        <w:t xml:space="preserve">Toelichting op structuur en PDCA-sturing:</w:t>
      </w:r>
    </w:p>
    <w:p>
      <w:pPr>
        <w:numPr>
          <w:ilvl w:val="0"/>
          <w:numId w:val="1"/>
        </w:numPr>
        <w:spacing w:lineRule="auto"/>
      </w:pPr>
      <w:r>
        <w:rPr/>
        <w:t xml:space="preserve">W-xx: unieke referentie per eis.</w:t>
      </w:r>
    </w:p>
    <w:p>
      <w:pPr>
        <w:numPr>
          <w:ilvl w:val="0"/>
          <w:numId w:val="1"/>
        </w:numPr>
        <w:spacing w:lineRule="auto"/>
      </w:pPr>
      <w:r>
        <w:rPr/>
        <w:t xml:space="preserve">KPI: meetpunten voor sturing (SMART).</w:t>
      </w:r>
    </w:p>
    <w:p>
      <w:pPr>
        <w:numPr>
          <w:ilvl w:val="0"/>
          <w:numId w:val="1"/>
        </w:numPr>
        <w:spacing w:lineRule="auto"/>
      </w:pPr>
      <w:r>
        <w:rPr/>
        <w:t xml:space="preserve">Risico (R-xx): gekoppeld aan de eis en mitigerende maatregel.</w:t>
      </w:r>
    </w:p>
    <w:p>
      <w:pPr>
        <w:numPr>
          <w:ilvl w:val="0"/>
          <w:numId w:val="1"/>
        </w:numPr>
        <w:spacing w:lineRule="auto"/>
      </w:pPr>
      <w:r>
        <w:rPr/>
        <w:t xml:space="preserve">PDCA: Plan/Do/Check/Act per eis geborgd in de toelichting.</w:t>
      </w:r>
    </w:p>
    <w:p>
      <w:pPr>
        <w:spacing w:lineRule="auto"/>
      </w:pPr>
      <w:r>
        <w:rPr/>
        <w:t xml:space="preserve">Tabel: Eis | Type (KO/REQ) | Voldoening | Toelichting/Bewijs | Bijlage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(KO/REQ)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Voldoening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Toelichting/Bewijs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UEA: Uitsluitingsgronden niet van toepassing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n.v.t. Risico: R-UEA1 (uitsluiting). PDCA: P invulling UEA door directie; D ondertekening en indiening; C juridische controle 4-ogen; A actualiseren bij wijzigingen. Bewijs: volledig ingevuld en ondertekend UEA.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A3_UEA_Uno.pdf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UEA: Beroepsbevoegdheid (KvK 27172538)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n.v.t. Risico: R-UEA2 (ongeldige inschrijving). PDCA: P periodieke check KvK; D bijvoegen uittreksel; C jaarlijkse review; A bij wijziging statuten direct bijwerken. Bewijs: uittreksel KvK.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A4_KvK_27172538.pdf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UEA: Voldoen aan verplichtingen m.b.t. belasting en sociale zekerheid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n.v.t. Risico: R-UEA3 (uitsluiting). PDCA: P intern compliancebeleid; D verklaring in UEA; C controle door finance; A direct herstel bij onregelmatigheden. Bewijs: verklaring in UEA.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A3_UEA_Uno.pdf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 ISO 27001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K4 (ISMS auditconformiteit: 100% bevindingen tijdig gesloten). Risico: R4 (informatiebeveiliging). PDCA: P ISMS scope en risicoanalyse; D controls geïmplementeerd; C interne audits/extern certificaat; A verbeteracties op auditbevindingen. Bewijs: geldig ISO 27001-certificaat op naam van Uno Automatiseringsdiensten B.V.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A1_ISO27001_Uno.pdf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ISO 9001 gecertificeerd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K8 (procesconformiteit: ≥90% tickets binnen SLA en correct geclassificeerd). Risico: R10 (procesafwijkingen). PDCA: P QMS-processen; D uitvoering volgens procedures; C interne audits/KPI-rapportages; A corrigerende maatregelen. Bewijs: geldig ISO 9001-certificaat.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A2_ISO9001_Uno.pdf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 24/7 bereikbaarheidsdienst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K2 (responstijd P1 &lt;30 min, 24/7). Risico: R8 (geen dekking buiten kantooruren). PDCA: P bereikbaarheidsbeleid en escalatieroutes; D 24/7 storingsnummer en wachtdienstrooster; C maandelijkse SLA-rapportage responstijden; A bijsturen roosters/capaciteit. Bewijs: beleid en rooster.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A13_Bereikbaarheidsdienst_Protocol.pdf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 Maximale responstijd P1-incidenten: 30 minuten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K2 (≥95% P1 binnen 30 min). Risico: R2 (vertraging impact dienstverlening). PDCA: P P1-definitie en on-call; D prioritering in ITSM-tool en paging; C SLA-dashboard responstijd; A extra engineer standby bij trendbreuk. Bewijs: SLA-bepalingen en rapportagevoorbeeld.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A5_SLA_Samenvatting_SLA-99.8-30-4h.pdf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W-08 Beschikbaarheid kritieke systemen: 99,8% per maand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K1 (≥99,8%/maand). Risico: R1 (onbeschikbaarheid). PDCA: P HA-architectuur/maintenance windows; D monitoring/auto-healing; C maandelijkse uptime-metingen; A probleemmanagement en verbeterplan. Bewijs: SLA-paragraaf beschikbaarheid + monitoringoverzicht.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A5_SLA_Samenvatting_SLA-99.8-30-4h.pdf, A9_Monitoring_Overzicht_Tooling.pdf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 Monitoring &amp; patchmanagement volledig geborgd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K4 (kritieke patches ≤72u ≥95%; overige ≤14d ≥95%); K7 (coverage 100% kritieke assets). Risico: R4 (kwetsbaarheden). PDCA: P patch- en changebeleid (ITIL); D geautomatiseerde deployment en CAB; C maandelijkse compliance-rapporten; A versnellen bij CVSS ≥9. Bewijs: procesbeschrijving patch/change + voorbeeldrapport.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A8_Patch_Change_Procesbeschrijving_ITIL.pdf, A9_Monitoring_Overzicht_Tooling.pdf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W-10 ITIL-gebaseerde servicedeskprocessen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K8 (≥90% tickets binnen SLA; ≥95% juiste prioritering). Risico: R10 (inefficiënte afhandeling). PDCA: P processen (Incident/Request/Change/Problem); D ITSM-tool, triage en kennisbank; C maandrapportages; A training en CSI-register. Bewijs: procesbeschrijving en KPI-overzicht.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A8_Patch_Change_Procesbeschrijving_ITIL.pdf, A15_KPI-Overzicht_Uno.pdf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 Alle data wordt binnen de EU verwerkt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K5 (100% EU data residency). Risico: R5 (non-compliance AVG). PDCA: P datalokalisatiebeleid en DPA; D hosting in EU-datacenters en EU SaaS-regio’s; C periodieke leveranciers- en locatie-audits; A migratieplan bij afwijking. Bewijs: DPA/EU-verwerkingsverklaring.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A10_DPA_EU_Verwerking.pdf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 Escalatieprocedure voor incidenten &amp;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K2/K3 naleving bij escalaties; escalatie-tijdslijn &lt;15 min naar volgende lijn. Risico: R6 (beslisvertraging). PDCA: P RACI en tijdslijnen; D automatische escalatieregels in ITSM; C audittrail review; A finetunen drempels. Bewijs: escalatieprocedure.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A6_Escalatieprocedure_Uno.pdf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W-13 Continuïteitsplan (BCP) beschikbaar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jaarlijkse test ≥1; RTO/RPO conform BCP; rapportage binnen 5 werkdagen na test. Risico: R7 (lange hersteltijd). PDCA: P BIA en strategie; D noodprocedures en oefening; C testverslag en lessons learned; A plan-update. Bewijs: BCP en laatste testrapport samenvatting.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A7_BCP_Uno.pdf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W-14 Personeel beschikt over VOG indien vereist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K6 (100% VOG op dossier vooraf inzet). Risico: R12 (toegangsrisico). PDCA: P HR-screeningsbeleid; D VOG-check vóór onboarding; C kwartaalsteekproef dossiers; A blokkeren inzet bij ontbrekende VOG. Bewijs: HR-procesverklaring.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A11_VOG_Procesverklaring.pdf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W-15 Proactieve monitoring van netwerk &amp;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K7 (100% coverage kritieke assets; MTTD &lt;15 min). Risico: R11 (late detectie). PDCA: P monitoringstrategie en drempels; D 24/7 alerting en runbooks; C SOC/monitoring-rapportages; A tuning alerts. Bewijs: tooling-overzicht en voorbeeldrapport.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A9_Monitoring_Overzicht_Tooling.pdf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W-16 Ondersteuning Microsoft 365 omgeving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incidentoplossing M365 binnen SLA K2/K3; change doorlooptijd standaard ≤2 werkdagen. Risico: R10 (beperkte productiviteit). PDCA: P support-scope M365; D beheer Exchange/SharePoint/Teams/Entra ID; C maandrapportage; A kennisupdates. Bewijs: serviceoverzicht M365.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A12_M365_Supported_Services.pdf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W-17 SLA: Oplostijd P1-incidenten &lt; 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K3 (≥90% P1 opgelost &lt;4u). Risico: R3 (lange verstoring). PDCA: P Major Incident Procedure; D war room/bridge en vendor-escalatie; C SLA-rapportage oplostijden; A post-incident review. Bewijs: SLA-bepaling en MIM-proces.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A5_SLA_Samenvatting_SLA-99.8-30-4h.pdf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W-18 Deliverable: Plan van Aanpak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oplevering T0+10 werkdagen en akkoord opdrachtgever; scope/risico’s/KPI’s gedekt. Risico: R10 (onduidelijkheden). PDCA: P format en planning; D opstellen met stakeholders; C reviewronde; A verwerken feedback. Bewijs: PvA.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A16_Plan_van_Aanpak_Uno.pdf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W-19 Deliverable: Risicodossier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actuele R(A)ID; maandelijkse update; top-5 risico’s met mitigerende acties. Risico: R1–R12 (geaggregeerd). PDCA: P risicokader; D identificatie/mitigatie; C maandreview; A bijsturen maatregelen. Bewijs: risicoregister.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A14_Risicodossier_Uno.pdf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W-20 Deliverable: KPI-overzicht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KPI: K1–K8 inclusief definities, meetmethodiek en drempels; maandelijkse rapportage. Risico: R10 (sturing ontbreekt). PDCA: P KPI-catalogus; D meten/rapporteren; C maandelijkse service review; A KPI-tuning. Bewijs: KPI-matrix.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A15_KPI-Overzicht_Uno.pdf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KPI-overzicht (referenties gebruikt in tabel):</w:t>
      </w:r>
    </w:p>
    <w:p>
      <w:pPr>
        <w:numPr>
          <w:ilvl w:val="0"/>
          <w:numId w:val="2"/>
        </w:numPr>
        <w:spacing w:lineRule="auto"/>
      </w:pPr>
      <w:r>
        <w:rPr/>
        <w:t xml:space="preserve">K1 Beschikbaarheid kritieke systemen ≥99,8% per maand (SLA).</w:t>
      </w:r>
    </w:p>
    <w:p>
      <w:pPr>
        <w:numPr>
          <w:ilvl w:val="0"/>
          <w:numId w:val="2"/>
        </w:numPr>
        <w:spacing w:lineRule="auto"/>
      </w:pPr>
      <w:r>
        <w:rPr/>
        <w:t xml:space="preserve">K2 Responstijd P1 &lt;30 minuten, 24/7 (SLA).</w:t>
      </w:r>
    </w:p>
    <w:p>
      <w:pPr>
        <w:numPr>
          <w:ilvl w:val="0"/>
          <w:numId w:val="2"/>
        </w:numPr>
        <w:spacing w:lineRule="auto"/>
      </w:pPr>
      <w:r>
        <w:rPr/>
        <w:t xml:space="preserve">K3 Oplostijd P1 &lt;4 uur (SLA).</w:t>
      </w:r>
    </w:p>
    <w:p>
      <w:pPr>
        <w:numPr>
          <w:ilvl w:val="0"/>
          <w:numId w:val="2"/>
        </w:numPr>
        <w:spacing w:lineRule="auto"/>
      </w:pPr>
      <w:r>
        <w:rPr/>
        <w:t xml:space="preserve">K4 Patch-compliance: kritieke patches ≤72 uur ≥95%; overige ≤14 dagen ≥95%.</w:t>
      </w:r>
    </w:p>
    <w:p>
      <w:pPr>
        <w:numPr>
          <w:ilvl w:val="0"/>
          <w:numId w:val="2"/>
        </w:numPr>
        <w:spacing w:lineRule="auto"/>
      </w:pPr>
      <w:r>
        <w:rPr/>
        <w:t xml:space="preserve">K5 EU data residency: 100%.</w:t>
      </w:r>
    </w:p>
    <w:p>
      <w:pPr>
        <w:numPr>
          <w:ilvl w:val="0"/>
          <w:numId w:val="2"/>
        </w:numPr>
        <w:spacing w:lineRule="auto"/>
      </w:pPr>
      <w:r>
        <w:rPr/>
        <w:t xml:space="preserve">K6 VOG-compliance: 100% vóór inzet.</w:t>
      </w:r>
    </w:p>
    <w:p>
      <w:pPr>
        <w:numPr>
          <w:ilvl w:val="0"/>
          <w:numId w:val="2"/>
        </w:numPr>
        <w:spacing w:lineRule="auto"/>
      </w:pPr>
      <w:r>
        <w:rPr/>
        <w:t xml:space="preserve">K7 Monitoring coverage: 100% kritieke assets; MTTD &lt;15 minuten.</w:t>
      </w:r>
    </w:p>
    <w:p>
      <w:pPr>
        <w:numPr>
          <w:ilvl w:val="0"/>
          <w:numId w:val="2"/>
        </w:numPr>
        <w:spacing w:lineRule="auto"/>
      </w:pPr>
      <w:r>
        <w:rPr/>
        <w:t xml:space="preserve">K8 ITIL-procesconformiteit: ≥90% tickets binnen SLA en correct geclassificeerd.</w:t>
      </w:r>
    </w:p>
    <w:p>
      <w:pPr>
        <w:spacing w:lineRule="auto"/>
      </w:pPr>
      <w:r>
        <w:rPr/>
        <w:t xml:space="preserve">Risico-overzicht (referenties gebruikt in tabel):</w:t>
      </w:r>
    </w:p>
    <w:p>
      <w:pPr>
        <w:numPr>
          <w:ilvl w:val="0"/>
          <w:numId w:val="3"/>
        </w:numPr>
        <w:spacing w:lineRule="auto"/>
      </w:pPr>
      <w:r>
        <w:rPr/>
        <w:t xml:space="preserve">R1 Onvoldoende beschikbaarheid; R2 Trage P1-respons; R3 Vertraagde P1-oplossing; R4 Kwetsbaarheden door patch-achterstand; R5 Data buiten EU/AVG-risico; R6 Escalatiefalen; R7 Onvoldoende continuïteit; R8 Geen 24/7 dekking; R10 Procesafwijkingen; R11 Late detectie incidenten; R12 Onvoldoende screening onsite.</w:t>
      </w:r>
    </w:p>
    <w:p>
      <w:pPr>
        <w:spacing w:lineRule="auto"/>
      </w:pPr>
      <w:r>
        <w:rPr/>
        <w:t xml:space="preserve">Cross-referentie W-xx ↔ KPI ↔ Risico ↔ Bewijs is per eis in de kolom “Toelichting/Bewijs” SMART en PDCA uitgewerkt.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Matrix (UEA / KO / REQ)</dc:title>
  <dc:subject/>
  <dc:creator>html-to-docx</dc:creator>
  <cp:keywords>html-to-docx</cp:keywords>
  <dc:description/>
  <cp:lastModifiedBy>html-to-docx</cp:lastModifiedBy>
  <cp:revision>1</cp:revision>
  <dcterms:created xsi:type="dcterms:W3CDTF">2025-11-26T07:18:14.781Z</dcterms:created>
  <dcterms:modified xsi:type="dcterms:W3CDTF">2025-11-26T07:18:14.781Z</dcterms:modified>
</cp:coreProperties>
</file>