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KPI / SLA Dashboard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26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KPI/SLA — Raamovereenkomst Catering- en Horecadiensten voor Gemeente Middenstad (ICT-beheer) — Project 1380</w:t>
      </w:r>
    </w:p>
    <w:p>
      <w:pPr>
        <w:spacing w:lineRule="auto"/>
      </w:pPr>
      <w:r>
        <w:rPr/>
        <w:t xml:space="preserve">Doel en scope</w:t>
      </w:r>
    </w:p>
    <w:p>
      <w:pPr>
        <w:numPr>
          <w:ilvl w:val="0"/>
          <w:numId w:val="1"/>
        </w:numPr>
        <w:spacing w:lineRule="auto"/>
      </w:pPr>
      <w:r>
        <w:rPr/>
        <w:t xml:space="preserve">Doel: aantoonbaar sturen op beschikbaarheid, veiligheid en continuïteit van cloud- en infrastructuuroplossingen voor de Gemeente Middenstad via SMART KPI/SLA’s, conform ISO 9001 en ISO 27001.</w:t>
      </w:r>
    </w:p>
    <w:p>
      <w:pPr>
        <w:numPr>
          <w:ilvl w:val="0"/>
          <w:numId w:val="1"/>
        </w:numPr>
        <w:spacing w:lineRule="auto"/>
      </w:pPr>
      <w:r>
        <w:rPr/>
        <w:t xml:space="preserve">Servicevenster: 24/7 voor P1; standaard servicedesk ma–vr 08:00–18:00 uur CET (excl. NL-feestdagen).</w:t>
      </w:r>
    </w:p>
    <w:p>
      <w:pPr>
        <w:numPr>
          <w:ilvl w:val="0"/>
          <w:numId w:val="1"/>
        </w:numPr>
        <w:spacing w:lineRule="auto"/>
      </w:pPr>
      <w:r>
        <w:rPr/>
        <w:t xml:space="preserve">Definities: P1 = uitval/ernstige verstoring kritieke dienst of data-integriteit; P2 = significante degradatie; P3 = normale storing/verzoek; P4 = informatie/verzoek lage prioriteit.</w:t>
      </w:r>
    </w:p>
    <w:p>
      <w:pPr>
        <w:numPr>
          <w:ilvl w:val="0"/>
          <w:numId w:val="1"/>
        </w:numPr>
        <w:spacing w:lineRule="auto"/>
      </w:pPr>
      <w:r>
        <w:rPr/>
        <w:t xml:space="preserve">Uitsluitingen meting beschikbaarheid: vooraf aangekondigd onderhoud (max. 4 uur/maand, ≥2 werkdagen vooraf gecommuniceerd) en externe verbindingen buiten invloed Uno.</w:t>
      </w:r>
    </w:p>
    <w:p>
      <w:pPr>
        <w:spacing w:lineRule="auto"/>
      </w:pPr>
      <w:r>
        <w:rPr/>
        <w:t xml:space="preserve">W-register (koppelingen naar must/KO/EMVI-criteria)</w:t>
      </w:r>
    </w:p>
    <w:p>
      <w:pPr>
        <w:numPr>
          <w:ilvl w:val="0"/>
          <w:numId w:val="2"/>
        </w:numPr>
        <w:spacing w:lineRule="auto"/>
      </w:pPr>
      <w:r>
        <w:rPr/>
        <w:t xml:space="preserve">W-01 KO: ISO 27001 gecertificeerd</w:t>
      </w:r>
    </w:p>
    <w:p>
      <w:pPr>
        <w:numPr>
          <w:ilvl w:val="0"/>
          <w:numId w:val="2"/>
        </w:numPr>
        <w:spacing w:lineRule="auto"/>
      </w:pPr>
      <w:r>
        <w:rPr/>
        <w:t xml:space="preserve">W-02 KO: ISO 9001 gecertificeerd</w:t>
      </w:r>
    </w:p>
    <w:p>
      <w:pPr>
        <w:numPr>
          <w:ilvl w:val="0"/>
          <w:numId w:val="2"/>
        </w:numPr>
        <w:spacing w:lineRule="auto"/>
      </w:pPr>
      <w:r>
        <w:rPr/>
        <w:t xml:space="preserve">W-03 KO: 24/7 bereikbaarheidsdienst</w:t>
      </w:r>
    </w:p>
    <w:p>
      <w:pPr>
        <w:numPr>
          <w:ilvl w:val="0"/>
          <w:numId w:val="2"/>
        </w:numPr>
        <w:spacing w:lineRule="auto"/>
      </w:pPr>
      <w:r>
        <w:rPr/>
        <w:t xml:space="preserve">W-04 Must: Maximale responstijd P1-incidenten: 30 minuten</w:t>
      </w:r>
    </w:p>
    <w:p>
      <w:pPr>
        <w:numPr>
          <w:ilvl w:val="0"/>
          <w:numId w:val="2"/>
        </w:numPr>
        <w:spacing w:lineRule="auto"/>
      </w:pPr>
      <w:r>
        <w:rPr/>
        <w:t xml:space="preserve">W-05 Must: Beschikbaarheid: 99,8% per maand</w:t>
      </w:r>
    </w:p>
    <w:p>
      <w:pPr>
        <w:numPr>
          <w:ilvl w:val="0"/>
          <w:numId w:val="2"/>
        </w:numPr>
        <w:spacing w:lineRule="auto"/>
      </w:pPr>
      <w:r>
        <w:rPr/>
        <w:t xml:space="preserve">W-06 Must: Monitoring &amp; patchmanagement geborgd</w:t>
      </w:r>
    </w:p>
    <w:p>
      <w:pPr>
        <w:numPr>
          <w:ilvl w:val="0"/>
          <w:numId w:val="2"/>
        </w:numPr>
        <w:spacing w:lineRule="auto"/>
      </w:pPr>
      <w:r>
        <w:rPr/>
        <w:t xml:space="preserve">W-07 Must: ITIL-gebaseerde servicedeskprocessen</w:t>
      </w:r>
    </w:p>
    <w:p>
      <w:pPr>
        <w:numPr>
          <w:ilvl w:val="0"/>
          <w:numId w:val="2"/>
        </w:numPr>
        <w:spacing w:lineRule="auto"/>
      </w:pPr>
      <w:r>
        <w:rPr/>
        <w:t xml:space="preserve">W-08 Must: Alle data binnen de EU</w:t>
      </w:r>
    </w:p>
    <w:p>
      <w:pPr>
        <w:numPr>
          <w:ilvl w:val="0"/>
          <w:numId w:val="2"/>
        </w:numPr>
        <w:spacing w:lineRule="auto"/>
      </w:pPr>
      <w:r>
        <w:rPr/>
        <w:t xml:space="preserve">W-09 Must: Escalatieprocedure incidenten &amp; changes</w:t>
      </w:r>
    </w:p>
    <w:p>
      <w:pPr>
        <w:numPr>
          <w:ilvl w:val="0"/>
          <w:numId w:val="2"/>
        </w:numPr>
        <w:spacing w:lineRule="auto"/>
      </w:pPr>
      <w:r>
        <w:rPr/>
        <w:t xml:space="preserve">W-10 Must: BCP beschikbaar</w:t>
      </w:r>
    </w:p>
    <w:p>
      <w:pPr>
        <w:numPr>
          <w:ilvl w:val="0"/>
          <w:numId w:val="2"/>
        </w:numPr>
        <w:spacing w:lineRule="auto"/>
      </w:pPr>
      <w:r>
        <w:rPr/>
        <w:t xml:space="preserve">W-11 Must: VOG indien vereist</w:t>
      </w:r>
    </w:p>
    <w:p>
      <w:pPr>
        <w:numPr>
          <w:ilvl w:val="0"/>
          <w:numId w:val="2"/>
        </w:numPr>
        <w:spacing w:lineRule="auto"/>
      </w:pPr>
      <w:r>
        <w:rPr/>
        <w:t xml:space="preserve">W-12 Must: Proactieve monitoring netwerk &amp; endpoints</w:t>
      </w:r>
    </w:p>
    <w:p>
      <w:pPr>
        <w:numPr>
          <w:ilvl w:val="0"/>
          <w:numId w:val="2"/>
        </w:numPr>
        <w:spacing w:lineRule="auto"/>
      </w:pPr>
      <w:r>
        <w:rPr/>
        <w:t xml:space="preserve">W-13 Must: Ondersteuning Microsoft 365</w:t>
      </w:r>
    </w:p>
    <w:p>
      <w:pPr>
        <w:numPr>
          <w:ilvl w:val="0"/>
          <w:numId w:val="2"/>
        </w:numPr>
        <w:spacing w:lineRule="auto"/>
      </w:pPr>
      <w:r>
        <w:rPr/>
        <w:t xml:space="preserve">W-14 Deliverable: Plan van Aanpak</w:t>
      </w:r>
    </w:p>
    <w:p>
      <w:pPr>
        <w:numPr>
          <w:ilvl w:val="0"/>
          <w:numId w:val="2"/>
        </w:numPr>
        <w:spacing w:lineRule="auto"/>
      </w:pPr>
      <w:r>
        <w:rPr/>
        <w:t xml:space="preserve">W-15 Deliverable: Risicodossier</w:t>
      </w:r>
    </w:p>
    <w:p>
      <w:pPr>
        <w:numPr>
          <w:ilvl w:val="0"/>
          <w:numId w:val="2"/>
        </w:numPr>
        <w:spacing w:lineRule="auto"/>
      </w:pPr>
      <w:r>
        <w:rPr/>
        <w:t xml:space="preserve">W-16 Deliverable: KPI-overzicht</w:t>
      </w:r>
    </w:p>
    <w:p>
      <w:pPr>
        <w:numPr>
          <w:ilvl w:val="0"/>
          <w:numId w:val="2"/>
        </w:numPr>
        <w:spacing w:lineRule="auto"/>
      </w:pPr>
      <w:r>
        <w:rPr/>
        <w:t xml:space="preserve">W-17 EMVI: Kwaliteit (40%)</w:t>
      </w:r>
    </w:p>
    <w:p>
      <w:pPr>
        <w:numPr>
          <w:ilvl w:val="0"/>
          <w:numId w:val="2"/>
        </w:numPr>
        <w:spacing w:lineRule="auto"/>
      </w:pPr>
      <w:r>
        <w:rPr/>
        <w:t xml:space="preserve">W-18 EMVI: Duurzaamheid (20%)</w:t>
      </w:r>
    </w:p>
    <w:p>
      <w:pPr>
        <w:numPr>
          <w:ilvl w:val="0"/>
          <w:numId w:val="2"/>
        </w:numPr>
        <w:spacing w:lineRule="auto"/>
      </w:pPr>
      <w:r>
        <w:rPr/>
        <w:t xml:space="preserve">W-19 EMVI: Risicobeheersing (20%)</w:t>
      </w:r>
    </w:p>
    <w:p>
      <w:pPr>
        <w:numPr>
          <w:ilvl w:val="0"/>
          <w:numId w:val="2"/>
        </w:numPr>
        <w:spacing w:lineRule="auto"/>
      </w:pPr>
      <w:r>
        <w:rPr/>
        <w:t xml:space="preserve">W-20 EMVI: Prijs (20%)</w:t>
      </w:r>
    </w:p>
    <w:p>
      <w:pPr>
        <w:spacing w:lineRule="auto"/>
      </w:pPr>
      <w:r>
        <w:rPr/>
        <w:t xml:space="preserve">KPI/SLA-overzicht (SMART, meetmethoden, frequente review, escalatie)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KPI/SLA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Verantwoordelijke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W-xx/criterium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Meetbron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Beschikbaarheid kritieke systemen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99,80%/kalendermaand (excl. gepland onderhoud)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 monitor (synthetic + heartbeat), logcorrelatie SIEM; formule: (beschikbare tijd – gepland onderhoud)/totale 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&lt;99,8%: binnen 1 uur IM; binnen 4 uur SDM; binnen 24 uur directie + klantreview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Delivery Manager (SDM)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W-05, W-17, W-19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P1 incidenten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30 min (24/7), gemeten van melding tot acceptatie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ITSM-timestamp intake/ack; telefonische testcall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incident + maandelijks 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Overschrijding: direct IM; 30–60 min SDM; &gt;60 min MT + 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Manager (IM)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W-04, W-03, W-09, W-17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Oplostijd P1 incidenten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4 uur (SLA op hersteldienst)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ITSM “resolved”-tijd; waar nodig tijdelijke workaround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incident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&gt;4 uur: escalatie L3/vendor; na 6 uur SDM; na 8 uur MT + klant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W-04, W-09, W-17, W-19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Contact Resolution (FCR)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70% binnen servicevenster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ITSM categorisatie “resolved at L1”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&lt;70%: L1-training binnen 10 werkdagen; SDM-review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Servicedesk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W-07, W-17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 (CSAT)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8,2/10 gemiddelde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Post-ticket survey (min. 20% response)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&lt;7,8: corrigerende acties; kwartaalactieplan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Patchcompliance (kritiek)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98% binnen 72 uur na release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Endpoint/Server patchrapport; config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&lt;98%: SecOff binnen 24u; Change Manager voor versnelde CAB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 (SecOff)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W-06, W-12, W-19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Patchcompliance (overig)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binnen 14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&lt;95%: backlog burn-down; escalatie SDM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W-06, W-12, W-19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van gedefinieerde assets in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CMDB vs monitoring-inventory reconciliatie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 &gt;0: binnen 2 werkdagen sluiting; SDM als &gt;5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W-06, W-12, W-17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Back-up succesratio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99% dagelijkse jobs succesvol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Backup-console rapport; failed jobs hersteld &lt;24u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&lt;99%: IM + SecOff; &gt;2 dagen trend: MT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 Administrator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W-10, W-19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Restore test en 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kwartaaltests geslaagd; RTO ≤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Kwartaal DR-oefening, herstelrapport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kwartaal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Faal: direct problem record; binnen 10 werkdagen verbeterplan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BC/DR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W-10, W-17, W-19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succesratio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98% zonder ongepland incident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ITSM change post-implementation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&lt;98%: CAB maatregel; freeze indien &lt;95%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W-07, W-09, W-17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Doorlooptijd standaard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90% binnen 2 werkdagen afgerond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ITSM doorlooptijdmeting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&lt;90%: resource-herallocatie; SDM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W-07, W-17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Security-incident detectie en melding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Detectie ≤ 15 min; melding P1 ≤ 30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SIEM use-cases; SOC-alerts; war-room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incident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Overschrijding: SecOff; 2e-lijn SOC; MT bij herhaling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W-06, W-01, W-19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data residency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data-opslag en -verwerking binnen EU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DPA/locatieverklaringen, cloud-tenant checks, datastromen 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 + bij wijzigingen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Inbreuk: stop-actie; DPO melding; migratieplan &lt;30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DPO / SecOff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W-08, W-01, W-19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VOG-compliance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medewerkers met VOG waar vereist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HR-dossiercontrole; onboarding-checklist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Non-compliant: toegang per direct geblokkeerd; HR-escalatie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W-11, W-17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bereikbaarheid on-call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shifts ingevuld; bereiktest ≥ 99%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On-call rooster; testcalls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Gemist: vervanging + root cause; SDM bij 2x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W-03,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Microsoft 365 wijzigingsverzoeken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licentie/rol-wijzigingen binnen 1 werkdag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M365 admin auditlog vs ticket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&lt;95%: capaciteitsaanpassing; SDM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M365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W-13, W-17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 management (RCA P1)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RCA binnen 3 werkdagen na herstel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RCA-rapport (Ishikawa/5x Why), CAB-validatie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Overschrijding: SDM; MT bij trend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W-07, W-19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 hosting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groene stroom + PUE ≤ 1,40 voor gebruikte DC’s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Leveranciersverklaringen, ISO 14001/verklaringen, PUE-rapport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Halfjaarlijks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Non-compliance: vendor-remediatie of exit binnen 6 mnd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SDM / Inkoop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Escalatiepad (algemeen)</w:t>
      </w:r>
    </w:p>
    <w:p>
      <w:pPr>
        <w:numPr>
          <w:ilvl w:val="0"/>
          <w:numId w:val="3"/>
        </w:numPr>
        <w:spacing w:lineRule="auto"/>
      </w:pPr>
      <w:r>
        <w:rPr/>
        <w:t xml:space="preserve">Niveau 1: Servicedesk L1 (0–15 min)</w:t>
      </w:r>
    </w:p>
    <w:p>
      <w:pPr>
        <w:numPr>
          <w:ilvl w:val="0"/>
          <w:numId w:val="3"/>
        </w:numPr>
        <w:spacing w:lineRule="auto"/>
      </w:pPr>
      <w:r>
        <w:rPr/>
        <w:t xml:space="preserve">Niveau 2: Incident Manager / L2 (15–30 min)</w:t>
      </w:r>
    </w:p>
    <w:p>
      <w:pPr>
        <w:numPr>
          <w:ilvl w:val="0"/>
          <w:numId w:val="3"/>
        </w:numPr>
        <w:spacing w:lineRule="auto"/>
      </w:pPr>
      <w:r>
        <w:rPr/>
        <w:t xml:space="preserve">Niveau 3: Service Delivery Manager / L3 / leveranciers (30–60 min)</w:t>
      </w:r>
    </w:p>
    <w:p>
      <w:pPr>
        <w:numPr>
          <w:ilvl w:val="0"/>
          <w:numId w:val="3"/>
        </w:numPr>
        <w:spacing w:lineRule="auto"/>
      </w:pPr>
      <w:r>
        <w:rPr/>
        <w:t xml:space="preserve">Niveau 4: Managementteam Uno + opdrachtgever-contact (≥ 60 min) Communicatiekanalen: ITSM-portaal, telefoon (24/7 hotline), war-room (Teams) bij P1.</w:t>
      </w:r>
    </w:p>
    <w:p>
      <w:pPr>
        <w:spacing w:lineRule="auto"/>
      </w:pPr>
      <w:r>
        <w:rPr/>
        <w:t xml:space="preserve">PDCA-sturing</w:t>
      </w:r>
    </w:p>
    <w:p>
      <w:pPr>
        <w:numPr>
          <w:ilvl w:val="0"/>
          <w:numId w:val="4"/>
        </w:numPr>
        <w:spacing w:lineRule="auto"/>
      </w:pPr>
      <w:r>
        <w:rPr/>
        <w:t xml:space="preserve">Plan: Jaarplan met KPI-targets en risicoregister (W-14, W-15), change-kalender, BCP/DR-testkalender.</w:t>
      </w:r>
    </w:p>
    <w:p>
      <w:pPr>
        <w:numPr>
          <w:ilvl w:val="0"/>
          <w:numId w:val="4"/>
        </w:numPr>
        <w:spacing w:lineRule="auto"/>
      </w:pPr>
      <w:r>
        <w:rPr/>
        <w:t xml:space="preserve">Do: ITIL-processen (incident, problem, change, request), 24/7 monitoring, patching, back-up &amp; restore.</w:t>
      </w:r>
    </w:p>
    <w:p>
      <w:pPr>
        <w:numPr>
          <w:ilvl w:val="0"/>
          <w:numId w:val="4"/>
        </w:numPr>
        <w:spacing w:lineRule="auto"/>
      </w:pPr>
      <w:r>
        <w:rPr/>
        <w:t xml:space="preserve">Check: Dagelijkse operationele checks; wekelijkse service review; maandelijkse KPI-rapportage aan opdrachtgever; kwartaal-audit (ISO 9001/27001 controles); kwartaal DR-test rapport.</w:t>
      </w:r>
    </w:p>
    <w:p>
      <w:pPr>
        <w:numPr>
          <w:ilvl w:val="0"/>
          <w:numId w:val="4"/>
        </w:numPr>
        <w:spacing w:lineRule="auto"/>
      </w:pPr>
      <w:r>
        <w:rPr/>
        <w:t xml:space="preserve">Act: Corrigerende/preventieve maatregelen (CAPA) binnen 10 werkdagen na afwijking; update risicodossier; aanpassing werkafspraken/CAB; lessons learned-sessies na elke P1.</w:t>
      </w:r>
    </w:p>
    <w:p>
      <w:pPr>
        <w:spacing w:lineRule="auto"/>
      </w:pPr>
      <w:r>
        <w:rPr/>
        <w:t xml:space="preserve">Kruisverband W-xx ↔ KPI ↔ Risico ↔ Bewijs (selectie)</w:t>
      </w:r>
    </w:p>
    <w:p>
      <w:pPr>
        <w:numPr>
          <w:ilvl w:val="0"/>
          <w:numId w:val="5"/>
        </w:numPr>
        <w:spacing w:lineRule="auto"/>
      </w:pPr>
      <w:r>
        <w:rPr/>
        <w:t xml:space="preserve">R-01 Uitval kritieke systemen → KPI: Beschikbaarheid, RTO/DR-test, Back-up succesratio → Bewijs: monitoring-rapporten, DR-testverslagen, back-up logs → W-05, W-10, W-19.</w:t>
      </w:r>
    </w:p>
    <w:p>
      <w:pPr>
        <w:numPr>
          <w:ilvl w:val="0"/>
          <w:numId w:val="5"/>
        </w:numPr>
        <w:spacing w:lineRule="auto"/>
      </w:pPr>
      <w:r>
        <w:rPr/>
        <w:t xml:space="preserve">R-02 Trage incidentafhandeling → KPI: Responstijd P1, Oplostijd P1, FCR, Problem RCA → Bewijs: ITSM-extracten, call-records, RCA-rapporten → W-04, W-07, W-09, W-17.</w:t>
      </w:r>
    </w:p>
    <w:p>
      <w:pPr>
        <w:numPr>
          <w:ilvl w:val="0"/>
          <w:numId w:val="5"/>
        </w:numPr>
        <w:spacing w:lineRule="auto"/>
      </w:pPr>
      <w:r>
        <w:rPr/>
        <w:t xml:space="preserve">R-03 Ongepatchte systemen/exploit → KPI: Patchcompliance (kritiek/overig), Monitoring coverage → Bewijs: patchrapporten, CMDB-reconciliatie → W-06, W-12, W-19.</w:t>
      </w:r>
    </w:p>
    <w:p>
      <w:pPr>
        <w:numPr>
          <w:ilvl w:val="0"/>
          <w:numId w:val="5"/>
        </w:numPr>
        <w:spacing w:lineRule="auto"/>
      </w:pPr>
      <w:r>
        <w:rPr/>
        <w:t xml:space="preserve">R-04 Dataverwerking buiten EU → KPI: EU data residency → Bewijs: DPA’s, tenant-locatie, leveranciersverklaring → W-08, W-01.</w:t>
      </w:r>
    </w:p>
    <w:p>
      <w:pPr>
        <w:numPr>
          <w:ilvl w:val="0"/>
          <w:numId w:val="5"/>
        </w:numPr>
        <w:spacing w:lineRule="auto"/>
      </w:pPr>
      <w:r>
        <w:rPr/>
        <w:t xml:space="preserve">R-05 Onbereikbaarheid 24/7 → KPI: 24/7 bereikbaarheid on-call → Bewijs: rooster, testcall-logs → W-03, W-09.</w:t>
      </w:r>
    </w:p>
    <w:p>
      <w:pPr>
        <w:numPr>
          <w:ilvl w:val="0"/>
          <w:numId w:val="5"/>
        </w:numPr>
        <w:spacing w:lineRule="auto"/>
      </w:pPr>
      <w:r>
        <w:rPr/>
        <w:t xml:space="preserve">R-06 Onbeheerste changes → KPI: Change succesratio, Doorlooptijd changes → Bewijs: PIR’s, CAB-notulen → W-07, W-09.</w:t>
      </w:r>
    </w:p>
    <w:p>
      <w:pPr>
        <w:numPr>
          <w:ilvl w:val="0"/>
          <w:numId w:val="5"/>
        </w:numPr>
        <w:spacing w:lineRule="auto"/>
      </w:pPr>
      <w:r>
        <w:rPr/>
        <w:t xml:space="preserve">R-07 Security-incidenten onopgemerkt → KPI: Detectie/meldingstijd, Monitoring coverage → Bewijs: SIEM-alerts, use-case catalogus → W-06, W-01.</w:t>
      </w:r>
    </w:p>
    <w:p>
      <w:pPr>
        <w:numPr>
          <w:ilvl w:val="0"/>
          <w:numId w:val="5"/>
        </w:numPr>
        <w:spacing w:lineRule="auto"/>
      </w:pPr>
      <w:r>
        <w:rPr/>
        <w:t xml:space="preserve">R-08 Niet-duurzame hosting → KPI: Duurzaamheid hosting → Bewijs: leveranciersverklaringen groene stroom, PUE-rapportages → W-18.</w:t>
      </w:r>
    </w:p>
    <w:p>
      <w:pPr>
        <w:numPr>
          <w:ilvl w:val="0"/>
          <w:numId w:val="5"/>
        </w:numPr>
        <w:spacing w:lineRule="auto"/>
      </w:pPr>
      <w:r>
        <w:rPr/>
        <w:t xml:space="preserve">R-09 Ongeautoriseerd personeel → KPI: VOG-compliance → Bewijs: HR-screeningsbewijs → W-11.</w:t>
      </w:r>
    </w:p>
    <w:p>
      <w:pPr>
        <w:spacing w:lineRule="auto"/>
      </w:pPr>
      <w:r>
        <w:rPr/>
        <w:t xml:space="preserve">Compliance &amp; bewijsbronnen</w:t>
      </w:r>
    </w:p>
    <w:p>
      <w:pPr>
        <w:numPr>
          <w:ilvl w:val="0"/>
          <w:numId w:val="6"/>
        </w:numPr>
        <w:spacing w:lineRule="auto"/>
      </w:pPr>
      <w:r>
        <w:rPr/>
        <w:t xml:space="preserve">Certificeringen: ISO 27001 en ISO 9001 (certificaatkopieën en Scope Statements beschikbaar).</w:t>
      </w:r>
    </w:p>
    <w:p>
      <w:pPr>
        <w:numPr>
          <w:ilvl w:val="0"/>
          <w:numId w:val="6"/>
        </w:numPr>
        <w:spacing w:lineRule="auto"/>
      </w:pPr>
      <w:r>
        <w:rPr/>
        <w:t xml:space="preserve">Procesbeschrijvingen: ITIL-proceshandboeken (incident/problem/change/request, major incident).</w:t>
      </w:r>
    </w:p>
    <w:p>
      <w:pPr>
        <w:numPr>
          <w:ilvl w:val="0"/>
          <w:numId w:val="6"/>
        </w:numPr>
        <w:spacing w:lineRule="auto"/>
      </w:pPr>
      <w:r>
        <w:rPr/>
        <w:t xml:space="preserve">Monitoring: Uptime-rapportages, SIEM/SOC alerts, endpoint management exporten.</w:t>
      </w:r>
    </w:p>
    <w:p>
      <w:pPr>
        <w:numPr>
          <w:ilvl w:val="0"/>
          <w:numId w:val="6"/>
        </w:numPr>
        <w:spacing w:lineRule="auto"/>
      </w:pPr>
      <w:r>
        <w:rPr/>
        <w:t xml:space="preserve">Patching: Patch- en compliance-overzichten servers/endpoints.</w:t>
      </w:r>
    </w:p>
    <w:p>
      <w:pPr>
        <w:numPr>
          <w:ilvl w:val="0"/>
          <w:numId w:val="6"/>
        </w:numPr>
        <w:spacing w:lineRule="auto"/>
      </w:pPr>
      <w:r>
        <w:rPr/>
        <w:t xml:space="preserve">Back-up/DR: Back-up job logs, herstelproeven, DR-testplannen en testrapporten.</w:t>
      </w:r>
    </w:p>
    <w:p>
      <w:pPr>
        <w:numPr>
          <w:ilvl w:val="0"/>
          <w:numId w:val="6"/>
        </w:numPr>
        <w:spacing w:lineRule="auto"/>
      </w:pPr>
      <w:r>
        <w:rPr/>
        <w:t xml:space="preserve">Data/EU: DPA’s en locatieverklaringen (cloudproviders), tenantconfiguraties.</w:t>
      </w:r>
    </w:p>
    <w:p>
      <w:pPr>
        <w:numPr>
          <w:ilvl w:val="0"/>
          <w:numId w:val="6"/>
        </w:numPr>
        <w:spacing w:lineRule="auto"/>
      </w:pPr>
      <w:r>
        <w:rPr/>
        <w:t xml:space="preserve">HR/VOG: Gescreende medewerkerslijst, toegangsautorisatiematrix.</w:t>
      </w:r>
    </w:p>
    <w:p>
      <w:pPr>
        <w:numPr>
          <w:ilvl w:val="0"/>
          <w:numId w:val="6"/>
        </w:numPr>
        <w:spacing w:lineRule="auto"/>
      </w:pPr>
      <w:r>
        <w:rPr/>
        <w:t xml:space="preserve">Duurzaamheid: Verklaringen groene stroom, PUE-rapporten, ISO 14001/leveranciersverklaringen.</w:t>
      </w:r>
    </w:p>
    <w:p>
      <w:pPr>
        <w:spacing w:lineRule="auto"/>
      </w:pPr>
      <w:r>
        <w:rPr/>
        <w:t xml:space="preserve">Rapportage en governance</w:t>
      </w:r>
    </w:p>
    <w:p>
      <w:pPr>
        <w:numPr>
          <w:ilvl w:val="0"/>
          <w:numId w:val="7"/>
        </w:numPr>
        <w:spacing w:lineRule="auto"/>
      </w:pPr>
      <w:r>
        <w:rPr/>
        <w:t xml:space="preserve">Rapportagekalender: wekelijks operationeel rapport; maandelijks KPI/SLA-rapport en managementsamenvatting; kwartaal-SROR (Service Review en Opportunities &amp; Risks); halfjaarlijkse duurzaamheidsevaluatie.</w:t>
      </w:r>
    </w:p>
    <w:p>
      <w:pPr>
        <w:numPr>
          <w:ilvl w:val="0"/>
          <w:numId w:val="7"/>
        </w:numPr>
        <w:spacing w:lineRule="auto"/>
      </w:pPr>
      <w:r>
        <w:rPr/>
        <w:t xml:space="preserve">Overleggen: Wekelijkse service review (SDM + opdrachtgever), maandelijkse Steering Committee, kwartaal-CAB met trendanalyse.</w:t>
      </w:r>
    </w:p>
    <w:p>
      <w:pPr>
        <w:spacing w:lineRule="auto"/>
      </w:pPr>
      <w:r>
        <w:rPr/>
        <w:t xml:space="preserve">Boete-/remediatie-afspraken (indien overeengekomen in contract)</w:t>
      </w:r>
    </w:p>
    <w:p>
      <w:pPr>
        <w:numPr>
          <w:ilvl w:val="0"/>
          <w:numId w:val="8"/>
        </w:numPr>
        <w:spacing w:lineRule="auto"/>
      </w:pPr>
      <w:r>
        <w:rPr/>
        <w:t xml:space="preserve">2 opeenvolgende maanden onder target op Beschikbaarheid of P1 Oplostijd: kosteloos verbeterplan + versnelde maatregelen; derde maand: service credit conform raamcontract.</w:t>
      </w:r>
    </w:p>
    <w:p>
      <w:pPr>
        <w:numPr>
          <w:ilvl w:val="0"/>
          <w:numId w:val="8"/>
        </w:numPr>
        <w:spacing w:lineRule="auto"/>
      </w:pPr>
      <w:r>
        <w:rPr/>
        <w:t xml:space="preserve">Structurele non-compliance op EU data residency of Security detectie/melding: directe CAPA, escalatie MT en rapportage aan opdrachtgever; mogelijke tijdelijke change freeze.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9"/>
        </w:numPr>
        <w:spacing w:lineRule="auto"/>
      </w:pPr>
      <w:r>
        <w:rPr/>
        <w:t xml:space="preserve">Lijst en classificatie van kritieke systemen/diensten + RTO/RPO-eisen.</w:t>
      </w:r>
    </w:p>
    <w:p>
      <w:pPr>
        <w:numPr>
          <w:ilvl w:val="0"/>
          <w:numId w:val="9"/>
        </w:numPr>
        <w:spacing w:lineRule="auto"/>
      </w:pPr>
      <w:r>
        <w:rPr/>
        <w:t xml:space="preserve">Overzicht locaties en netwerksegmenten; actueel assetregister/CMDB-export.</w:t>
      </w:r>
    </w:p>
    <w:p>
      <w:pPr>
        <w:numPr>
          <w:ilvl w:val="0"/>
          <w:numId w:val="9"/>
        </w:numPr>
        <w:spacing w:lineRule="auto"/>
      </w:pPr>
      <w:r>
        <w:rPr/>
        <w:t xml:space="preserve">Contact- en escalatieboom opdrachtgever (incl. 24/7 bereikpunten).</w:t>
      </w:r>
    </w:p>
    <w:p>
      <w:pPr>
        <w:numPr>
          <w:ilvl w:val="0"/>
          <w:numId w:val="9"/>
        </w:numPr>
        <w:spacing w:lineRule="auto"/>
      </w:pPr>
      <w:r>
        <w:rPr/>
        <w:t xml:space="preserve">Onderhoudsvensters en change freeze-periodes.</w:t>
      </w:r>
    </w:p>
    <w:p>
      <w:pPr>
        <w:numPr>
          <w:ilvl w:val="0"/>
          <w:numId w:val="9"/>
        </w:numPr>
        <w:spacing w:lineRule="auto"/>
      </w:pPr>
      <w:r>
        <w:rPr/>
        <w:t xml:space="preserve">Beveiligingsbeleid en dataclassificaties; DPA’s/contracten bestaande leveranciers.</w:t>
      </w:r>
    </w:p>
    <w:p>
      <w:pPr>
        <w:numPr>
          <w:ilvl w:val="0"/>
          <w:numId w:val="9"/>
        </w:numPr>
        <w:spacing w:lineRule="auto"/>
      </w:pPr>
      <w:r>
        <w:rPr/>
        <w:t xml:space="preserve">Back-upretentie- en compliance-eisen (archief/retentie per dataset).</w:t>
      </w:r>
    </w:p>
    <w:p>
      <w:pPr>
        <w:numPr>
          <w:ilvl w:val="0"/>
          <w:numId w:val="9"/>
        </w:numPr>
        <w:spacing w:lineRule="auto"/>
      </w:pPr>
      <w:r>
        <w:rPr/>
        <w:t xml:space="preserve">Microsoft 365 tenant-ID’s, domeinen en autorisatiescope.</w:t>
      </w:r>
    </w:p>
    <w:p>
      <w:pPr>
        <w:numPr>
          <w:ilvl w:val="0"/>
          <w:numId w:val="9"/>
        </w:numPr>
        <w:spacing w:lineRule="auto"/>
      </w:pPr>
      <w:r>
        <w:rPr/>
        <w:t xml:space="preserve">Specifieke duurzaamheidseisen/voorkeursdatacenters in de EU.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/ SLA Dashboard</dc:title>
  <dc:subject/>
  <dc:creator>html-to-docx</dc:creator>
  <cp:keywords>html-to-docx</cp:keywords>
  <dc:description/>
  <cp:lastModifiedBy>html-to-docx</cp:lastModifiedBy>
  <cp:revision>1</cp:revision>
  <dcterms:created xsi:type="dcterms:W3CDTF">2025-11-26T07:18:14.781Z</dcterms:created>
  <dcterms:modified xsi:type="dcterms:W3CDTF">2025-11-26T07:18:14.781Z</dcterms:modified>
</cp:coreProperties>
</file>