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 — Raamovereenkomst Beheer, Onderhoud en Security Cloud &amp; Infrastructuur (Opdrachtgever: Gemeente Middenstad/NVAO) — Uno Automatiseringsdiensten B.V. (Project 1380)</w:t>
      </w:r>
    </w:p>
    <w:p>
      <w:pPr>
        <w:spacing w:lineRule="auto"/>
      </w:pPr>
      <w:r>
        <w:rPr/>
        <w:t xml:space="preserve">ASCII-Gantt (fasen, start/eind, gate-reviews en mijlpalen) Tijdsschaal (maanden): 2026 | Jan | Feb | Mar | Apr | May | Jun | Jul | Aug | Sep | Oct | Nov | Dec | 2027 | 2028 | 2029 Legenda: [====] fase, Gx=Gate Review, Mx=Mijlpaal</w:t>
      </w:r>
    </w:p>
    <w:p>
      <w:pPr>
        <w:spacing w:lineRule="auto"/>
      </w:pPr>
      <w:r>
        <w:rPr/>
        <w:t xml:space="preserve">01 Initiatie &amp; Mobilisatie          05-01-2026 → 23-01-2026      |[====]|    M1 Kick-off (05-01) • G1 Mobilisatie Gate (23-01)</w:t>
      </w:r>
    </w:p>
    <w:p>
      <w:pPr>
        <w:spacing w:lineRule="auto"/>
      </w:pPr>
      <w:r>
        <w:rPr/>
        <w:t xml:space="preserve">02 Due Diligence &amp; Discovery        12-01-2026 → 07-02-2026        | [=====] |    M2 Inventarisatie compleet (07-02)</w:t>
      </w:r>
    </w:p>
    <w:p>
      <w:pPr>
        <w:spacing w:lineRule="auto"/>
      </w:pPr>
      <w:r>
        <w:rPr/>
        <w:t xml:space="preserve">03 Ontwerp &amp; Configuratie           26-01-2026 → 21-02-2026          |  [=====] |    G2 Design Gate/Sign-off (21-02) • M3 Config goedgekeurd (21-02)</w:t>
      </w:r>
    </w:p>
    <w:p>
      <w:pPr>
        <w:spacing w:lineRule="auto"/>
      </w:pPr>
      <w:r>
        <w:rPr/>
        <w:t xml:space="preserve">04 Migratie &amp; Overname Beheer       24-02-2026 → 28-03-2026             |   [=======]  |    G3 Go/No-Go (24-03) • M4 Day-1 beheer (24-03)</w:t>
      </w:r>
    </w:p>
    <w:p>
      <w:pPr>
        <w:spacing w:lineRule="auto"/>
      </w:pPr>
      <w:r>
        <w:rPr/>
        <w:t xml:space="preserve">05 Stabilisatie &amp; Hypercare         29-03-2026 → 26-04-2026                    |     [====] |    G4 Acceptatie/Hypercare-exit (26-04)</w:t>
      </w:r>
    </w:p>
    <w:p>
      <w:pPr>
        <w:spacing w:lineRule="auto"/>
      </w:pPr>
      <w:r>
        <w:rPr/>
        <w:t xml:space="preserve">06 Operationeel Beheer (Run)        27-04-2026 → 04-01-2029                         |      [==============================================]    M5 SLA 1e maand behaald (31-05-2026) • Jaarlijkse MSR/Gate (31-03-2027, 31-03-2028)</w:t>
      </w:r>
    </w:p>
    <w:p>
      <w:pPr>
        <w:spacing w:lineRule="auto"/>
      </w:pPr>
      <w:r>
        <w:rPr/>
        <w:t xml:space="preserve">07 PDCA-Verbeter-sprints (Kwartaals)01-05-2026 → 04-01-2029                           |       [==][==][==][==]...[==]    M7 Midterm evaluatie (15-12-2027)</w:t>
      </w:r>
    </w:p>
    <w:p>
      <w:pPr>
        <w:spacing w:lineRule="auto"/>
      </w:pPr>
      <w:r>
        <w:rPr/>
        <w:t xml:space="preserve">08 BCP/DR-test &amp; Exit-readiness     15-06-2026 → 19-06-2026 (1e test)                     |        [==] |    M6 BCP/DR test geslaagd (19-06-2026); herhaling jaarlijks Q2 • Exit-oefening Q4-2028</w:t>
      </w:r>
    </w:p>
    <w:p>
      <w:pPr>
        <w:spacing w:lineRule="auto"/>
      </w:pPr>
      <w:r>
        <w:rPr/>
        <w:t xml:space="preserve">Gate Reviews (Gx) en Mijlpalen (Mx) op de tijdlijn:</w:t>
      </w:r>
    </w:p>
    <w:p>
      <w:pPr>
        <w:numPr>
          <w:ilvl w:val="0"/>
          <w:numId w:val="1"/>
        </w:numPr>
        <w:spacing w:lineRule="auto"/>
      </w:pPr>
      <w:r>
        <w:rPr/>
        <w:t xml:space="preserve">M1 05-01-2026 Kick-off</w:t>
      </w:r>
    </w:p>
    <w:p>
      <w:pPr>
        <w:numPr>
          <w:ilvl w:val="0"/>
          <w:numId w:val="1"/>
        </w:numPr>
        <w:spacing w:lineRule="auto"/>
      </w:pPr>
      <w:r>
        <w:rPr/>
        <w:t xml:space="preserve">G1 23-01-2026 Mobilisatie Gate (PIB/Project Charter goedgekeurd)</w:t>
      </w:r>
    </w:p>
    <w:p>
      <w:pPr>
        <w:numPr>
          <w:ilvl w:val="0"/>
          <w:numId w:val="1"/>
        </w:numPr>
        <w:spacing w:lineRule="auto"/>
      </w:pPr>
      <w:r>
        <w:rPr/>
        <w:t xml:space="preserve">M2 07-02-2026 Inventarisatie compleet</w:t>
      </w:r>
    </w:p>
    <w:p>
      <w:pPr>
        <w:numPr>
          <w:ilvl w:val="0"/>
          <w:numId w:val="1"/>
        </w:numPr>
        <w:spacing w:lineRule="auto"/>
      </w:pPr>
      <w:r>
        <w:rPr/>
        <w:t xml:space="preserve">M3 + G2 21-02-2026 Ontwerp &amp; Config sign-off</w:t>
      </w:r>
    </w:p>
    <w:p>
      <w:pPr>
        <w:numPr>
          <w:ilvl w:val="0"/>
          <w:numId w:val="1"/>
        </w:numPr>
        <w:spacing w:lineRule="auto"/>
      </w:pPr>
      <w:r>
        <w:rPr/>
        <w:t xml:space="preserve">G3 24-03-2026 Go/No-Go migratie en Day-1 beheer</w:t>
      </w:r>
    </w:p>
    <w:p>
      <w:pPr>
        <w:numPr>
          <w:ilvl w:val="0"/>
          <w:numId w:val="1"/>
        </w:numPr>
        <w:spacing w:lineRule="auto"/>
      </w:pPr>
      <w:r>
        <w:rPr/>
        <w:t xml:space="preserve">M4 24-03-2026 Overname beheer</w:t>
      </w:r>
    </w:p>
    <w:p>
      <w:pPr>
        <w:numPr>
          <w:ilvl w:val="0"/>
          <w:numId w:val="1"/>
        </w:numPr>
        <w:spacing w:lineRule="auto"/>
      </w:pPr>
      <w:r>
        <w:rPr/>
        <w:t xml:space="preserve">G4 26-04-2026 Acceptatie en exit hypercare</w:t>
      </w:r>
    </w:p>
    <w:p>
      <w:pPr>
        <w:numPr>
          <w:ilvl w:val="0"/>
          <w:numId w:val="1"/>
        </w:numPr>
        <w:spacing w:lineRule="auto"/>
      </w:pPr>
      <w:r>
        <w:rPr/>
        <w:t xml:space="preserve">M5 31-05-2026 Eerste volledige SLA-maand gehaald</w:t>
      </w:r>
    </w:p>
    <w:p>
      <w:pPr>
        <w:numPr>
          <w:ilvl w:val="0"/>
          <w:numId w:val="1"/>
        </w:numPr>
        <w:spacing w:lineRule="auto"/>
      </w:pPr>
      <w:r>
        <w:rPr/>
        <w:t xml:space="preserve">M6 19-06-2026 BCP/DR test geslaagd (jaarlijks Q2)</w:t>
      </w:r>
    </w:p>
    <w:p>
      <w:pPr>
        <w:numPr>
          <w:ilvl w:val="0"/>
          <w:numId w:val="1"/>
        </w:numPr>
        <w:spacing w:lineRule="auto"/>
      </w:pPr>
      <w:r>
        <w:rPr/>
        <w:t xml:space="preserve">Jaarlijkse Gate: 31-03-2027 en 31-03-2028 (EMVI-prestatie review)</w:t>
      </w:r>
    </w:p>
    <w:p>
      <w:pPr>
        <w:numPr>
          <w:ilvl w:val="0"/>
          <w:numId w:val="1"/>
        </w:numPr>
        <w:spacing w:lineRule="auto"/>
      </w:pPr>
      <w:r>
        <w:rPr/>
        <w:t xml:space="preserve">M7 15-12-2027 Midterm evaluatie</w:t>
      </w:r>
    </w:p>
    <w:p>
      <w:pPr>
        <w:numPr>
          <w:ilvl w:val="0"/>
          <w:numId w:val="1"/>
        </w:numPr>
        <w:spacing w:lineRule="auto"/>
      </w:pPr>
      <w:r>
        <w:rPr/>
        <w:t xml:space="preserve">Exit-oefening Q4-2028; contracteinde 04-01-2029</w:t>
      </w:r>
    </w:p>
    <w:p>
      <w:pPr>
        <w:spacing w:lineRule="auto"/>
      </w:pPr>
      <w:r>
        <w:rPr/>
        <w:t xml:space="preserve">Toelichting (SMART, PDCA, EMVI, risico-koppeling) Doel (SMART)</w:t>
      </w:r>
    </w:p>
    <w:p>
      <w:pPr>
        <w:numPr>
          <w:ilvl w:val="0"/>
          <w:numId w:val="2"/>
        </w:numPr>
        <w:spacing w:lineRule="auto"/>
      </w:pPr>
      <w:r>
        <w:rPr/>
        <w:t xml:space="preserve">Doelstelling: Binnen 12 weken na start (uiterlijk 26-04-2026) een volledig geborgde beheeromgeving voor kritieke systemen live, met maandelijkse beschikbaarheid ≥ 99,8%, P1-responstijd &lt; 30 min en P1-oplostijd &lt; 4 uur.</w:t>
      </w:r>
    </w:p>
    <w:p>
      <w:pPr>
        <w:numPr>
          <w:ilvl w:val="0"/>
          <w:numId w:val="2"/>
        </w:numPr>
        <w:spacing w:lineRule="auto"/>
      </w:pPr>
      <w:r>
        <w:rPr/>
        <w:t xml:space="preserve">Omvang: Monitoring, patchmanagement, ITIL-servicedesk, M365-ondersteuning, EU-dataverwerking, 24/7 bereikbaarheidsdienst, BCP/DR.</w:t>
      </w:r>
    </w:p>
    <w:p>
      <w:pPr>
        <w:numPr>
          <w:ilvl w:val="0"/>
          <w:numId w:val="2"/>
        </w:numPr>
        <w:spacing w:lineRule="auto"/>
      </w:pPr>
      <w:r>
        <w:rPr/>
        <w:t xml:space="preserve">Meetbaar: KPI’s per SLA, maandelijks gerapporteerd in MSR; dashboards near real-time.</w:t>
      </w:r>
    </w:p>
    <w:p>
      <w:pPr>
        <w:numPr>
          <w:ilvl w:val="0"/>
          <w:numId w:val="2"/>
        </w:numPr>
        <w:spacing w:lineRule="auto"/>
      </w:pPr>
      <w:r>
        <w:rPr/>
        <w:t xml:space="preserve">Acceptatiecriteria per Gate:</w:t>
      </w:r>
    </w:p>
    <w:p>
      <w:pPr>
        <w:numPr>
          <w:ilvl w:val="1"/>
          <w:numId w:val="3"/>
        </w:numPr>
        <w:spacing w:lineRule="auto"/>
      </w:pPr>
      <w:r>
        <w:rPr/>
        <w:t xml:space="preserve">G1: Project Initiation Baseline (PIB), RASCI, communicatieplan en risicolog (top 10) vastgesteld.</w:t>
      </w:r>
    </w:p>
    <w:p>
      <w:pPr>
        <w:numPr>
          <w:ilvl w:val="1"/>
          <w:numId w:val="3"/>
        </w:numPr>
        <w:spacing w:lineRule="auto"/>
      </w:pPr>
      <w:r>
        <w:rPr/>
        <w:t xml:space="preserve">G2: High/Low Level Design, security- en datalocatiebeleid (EU-only), testplan en rollbackplan goedgekeurd door CAB.</w:t>
      </w:r>
    </w:p>
    <w:p>
      <w:pPr>
        <w:numPr>
          <w:ilvl w:val="1"/>
          <w:numId w:val="3"/>
        </w:numPr>
        <w:spacing w:lineRule="auto"/>
      </w:pPr>
      <w:r>
        <w:rPr/>
        <w:t xml:space="preserve">G3: Go/No-Go op basis van geslaagde pilots, back-out bevestigd, capaciteitscheck afgerond.</w:t>
      </w:r>
    </w:p>
    <w:p>
      <w:pPr>
        <w:numPr>
          <w:ilvl w:val="1"/>
          <w:numId w:val="3"/>
        </w:numPr>
        <w:spacing w:lineRule="auto"/>
      </w:pPr>
      <w:r>
        <w:rPr/>
        <w:t xml:space="preserve">G4: 30 dagen stabiele operaties, SLA’s gehaald, overdrachtsdossiers en runbooks afgerond.</w:t>
      </w:r>
    </w:p>
    <w:p>
      <w:pPr>
        <w:spacing w:lineRule="auto"/>
      </w:pPr>
      <w:r>
        <w:rPr/>
        <w:t xml:space="preserve">PDCA</w:t>
      </w:r>
    </w:p>
    <w:p>
      <w:pPr>
        <w:numPr>
          <w:ilvl w:val="0"/>
          <w:numId w:val="4"/>
        </w:numPr>
        <w:spacing w:lineRule="auto"/>
      </w:pPr>
      <w:r>
        <w:rPr/>
        <w:t xml:space="preserve">Plan: Fasen 01–03; inventarisatie, ontwerp, security- en continuïteitseisen vastleggen; KPI-baseline (MTTA/MTTR/uptime/patch).</w:t>
      </w:r>
    </w:p>
    <w:p>
      <w:pPr>
        <w:numPr>
          <w:ilvl w:val="0"/>
          <w:numId w:val="4"/>
        </w:numPr>
        <w:spacing w:lineRule="auto"/>
      </w:pPr>
      <w:r>
        <w:rPr/>
        <w:t xml:space="preserve">Do: Fase 04–05; migratie, activatie 24/7, hypercare met versnelde probleemresolutie.</w:t>
      </w:r>
    </w:p>
    <w:p>
      <w:pPr>
        <w:numPr>
          <w:ilvl w:val="0"/>
          <w:numId w:val="4"/>
        </w:numPr>
        <w:spacing w:lineRule="auto"/>
      </w:pPr>
      <w:r>
        <w:rPr/>
        <w:t xml:space="preserve">Check: Vanaf fase 06; wekelijkse kwaliteitscheck, maandelijkse Service Review, kwartaal CSI-audit, jaarlijkse BCP/DR-test.</w:t>
      </w:r>
    </w:p>
    <w:p>
      <w:pPr>
        <w:numPr>
          <w:ilvl w:val="0"/>
          <w:numId w:val="4"/>
        </w:numPr>
        <w:spacing w:lineRule="auto"/>
      </w:pPr>
      <w:r>
        <w:rPr/>
        <w:t xml:space="preserve">Act: Fase 07; kwartaal-verbetersprints met CAB-besluitvorming; lessons learned vertaald naar standaard changes; roadmap geactualiseerd.</w:t>
      </w:r>
    </w:p>
    <w:p>
      <w:pPr>
        <w:spacing w:lineRule="auto"/>
      </w:pPr>
      <w:r>
        <w:rPr/>
        <w:t xml:space="preserve">Kruisverbinding W-xx ↔ KPI ↔ Risico ↔ Bewijs</w:t>
      </w:r>
    </w:p>
    <w:p>
      <w:pPr>
        <w:numPr>
          <w:ilvl w:val="0"/>
          <w:numId w:val="5"/>
        </w:numPr>
        <w:spacing w:lineRule="auto"/>
      </w:pPr>
      <w:r>
        <w:rPr/>
        <w:t xml:space="preserve">KO-01 ISO 27001: KPI 0 majeure non-conformities; Risico uitsluiting/boete; Bewijs: geldig ISO 27001-certificaat op naam Uno Automatiseringsdiensten B.V.</w:t>
      </w:r>
    </w:p>
    <w:p>
      <w:pPr>
        <w:numPr>
          <w:ilvl w:val="0"/>
          <w:numId w:val="5"/>
        </w:numPr>
        <w:spacing w:lineRule="auto"/>
      </w:pPr>
      <w:r>
        <w:rPr/>
        <w:t xml:space="preserve">KO-02 ISO 9001: KPI ≥ 95% voldane proceschecks; Risico kwaliteitsafwijkingen; Bewijs: geldig ISO 9001-certificaat.</w:t>
      </w:r>
    </w:p>
    <w:p>
      <w:pPr>
        <w:numPr>
          <w:ilvl w:val="0"/>
          <w:numId w:val="5"/>
        </w:numPr>
        <w:spacing w:lineRule="auto"/>
      </w:pPr>
      <w:r>
        <w:rPr/>
        <w:t xml:space="preserve">KO-03 24/7 bereikbaar: KPI MTTA P1 ≤ 30 min; Risico escalatie-uitval; Bewijs: rooster &amp; bereikbaarheidslogs.</w:t>
      </w:r>
    </w:p>
    <w:p>
      <w:pPr>
        <w:numPr>
          <w:ilvl w:val="0"/>
          <w:numId w:val="5"/>
        </w:numPr>
        <w:spacing w:lineRule="auto"/>
      </w:pPr>
      <w:r>
        <w:rPr/>
        <w:t xml:space="preserve">W-01 Beschikbaarheid 99,8%: KPI Uptime ≥ 99,8%/maand; Risico single points of failure; Bewijs: monitoringrapporten en maandelijkse SLA-rapportage.</w:t>
      </w:r>
    </w:p>
    <w:p>
      <w:pPr>
        <w:numPr>
          <w:ilvl w:val="0"/>
          <w:numId w:val="5"/>
        </w:numPr>
        <w:spacing w:lineRule="auto"/>
      </w:pPr>
      <w:r>
        <w:rPr/>
        <w:t xml:space="preserve">W-02 P1-responstijd &lt; 30 min: KPI MTTA ≤ 30 min; Risico onderbezetting; Bewijs: SIEM/pager logs, ticket-tijdstempels.</w:t>
      </w:r>
    </w:p>
    <w:p>
      <w:pPr>
        <w:numPr>
          <w:ilvl w:val="0"/>
          <w:numId w:val="5"/>
        </w:numPr>
        <w:spacing w:lineRule="auto"/>
      </w:pPr>
      <w:r>
        <w:rPr/>
        <w:t xml:space="preserve">W-03 P1-oplostijd &lt; 4 uur: KPI MTTR ≤ 4 uur; Risico leveranciersafhankelijkheid; Bewijs: incidentdossiers, vendor SR’s.</w:t>
      </w:r>
    </w:p>
    <w:p>
      <w:pPr>
        <w:numPr>
          <w:ilvl w:val="0"/>
          <w:numId w:val="5"/>
        </w:numPr>
        <w:spacing w:lineRule="auto"/>
      </w:pPr>
      <w:r>
        <w:rPr/>
        <w:t xml:space="preserve">W-04 EU-datalocatie: KPI 100% EU-tenant/region; Risico datalek/compliance; Bewijs: M365/Azure region-instellingen en DPA.</w:t>
      </w:r>
    </w:p>
    <w:p>
      <w:pPr>
        <w:numPr>
          <w:ilvl w:val="0"/>
          <w:numId w:val="5"/>
        </w:numPr>
        <w:spacing w:lineRule="auto"/>
      </w:pPr>
      <w:r>
        <w:rPr/>
        <w:t xml:space="preserve">W-05 ITIL-servicedesk: KPI &gt; 95% juiste classificatie, FTF ≥ 70%; Risico procesvariatie; Bewijs: procesbeschrijvingen, auditresultaten.</w:t>
      </w:r>
    </w:p>
    <w:p>
      <w:pPr>
        <w:numPr>
          <w:ilvl w:val="0"/>
          <w:numId w:val="5"/>
        </w:numPr>
        <w:spacing w:lineRule="auto"/>
      </w:pPr>
      <w:r>
        <w:rPr/>
        <w:t xml:space="preserve">W-06 Monitoring &amp; patch: KPI ≥ 95% compliant &lt;14 dagen; Risico kwetsbaarheden; Bewijs: Intune/WSUS compliance-rapporten.</w:t>
      </w:r>
    </w:p>
    <w:p>
      <w:pPr>
        <w:numPr>
          <w:ilvl w:val="0"/>
          <w:numId w:val="5"/>
        </w:numPr>
        <w:spacing w:lineRule="auto"/>
      </w:pPr>
      <w:r>
        <w:rPr/>
        <w:t xml:space="preserve">W-07 Escalatieprocedure: KPI 100% P1-escalaties ≤ 5 min; Risico vertraging; Bewijs: procedure en war-room logs.</w:t>
      </w:r>
    </w:p>
    <w:p>
      <w:pPr>
        <w:numPr>
          <w:ilvl w:val="0"/>
          <w:numId w:val="5"/>
        </w:numPr>
        <w:spacing w:lineRule="auto"/>
      </w:pPr>
      <w:r>
        <w:rPr/>
        <w:t xml:space="preserve">W-08 BCP/DR: KPI jaarlijkse test geslaagd, RTO ≤ 4u/RPO ≤ 1u; Risico uitval; Bewijs: testverslag en CAB-acceptatie.</w:t>
      </w:r>
    </w:p>
    <w:p>
      <w:pPr>
        <w:numPr>
          <w:ilvl w:val="0"/>
          <w:numId w:val="5"/>
        </w:numPr>
        <w:spacing w:lineRule="auto"/>
      </w:pPr>
      <w:r>
        <w:rPr/>
        <w:t xml:space="preserve">W-09 VOG: KPI 100% VOG vóór toegang; Risico insider threat; Bewijs: HR-screeningsregister.</w:t>
      </w:r>
    </w:p>
    <w:p>
      <w:pPr>
        <w:numPr>
          <w:ilvl w:val="0"/>
          <w:numId w:val="5"/>
        </w:numPr>
        <w:spacing w:lineRule="auto"/>
      </w:pPr>
      <w:r>
        <w:rPr/>
        <w:t xml:space="preserve">W-10 Proactieve monitoring: KPI MTTD ≤ 5 min, false positive rate ≤ 10%; Risico alert fatigue; Bewijs: SIEM tuning-rapport.</w:t>
      </w:r>
    </w:p>
    <w:p>
      <w:pPr>
        <w:numPr>
          <w:ilvl w:val="0"/>
          <w:numId w:val="5"/>
        </w:numPr>
        <w:spacing w:lineRule="auto"/>
      </w:pPr>
      <w:r>
        <w:rPr/>
        <w:t xml:space="preserve">W-11 M365-ondersteuning: KPI oplosgraad M365 P2 ≥ 90% binnen 8 uur; Risico productiviteitsverlies; Bewijs: tenant health &amp; ticketstatistiek.</w:t>
      </w:r>
    </w:p>
    <w:p>
      <w:pPr>
        <w:spacing w:lineRule="auto"/>
      </w:pPr>
      <w:r>
        <w:rPr/>
        <w:t xml:space="preserve">Risicobeheersing (selectie, top-5)</w:t>
      </w:r>
    </w:p>
    <w:p>
      <w:pPr>
        <w:numPr>
          <w:ilvl w:val="0"/>
          <w:numId w:val="6"/>
        </w:numPr>
        <w:spacing w:lineRule="auto"/>
      </w:pPr>
      <w:r>
        <w:rPr/>
        <w:t xml:space="preserve">R1 Onvolledige inventarisatie → mitigatie: dubbele bronvalidatie, discovery tools; Gate G2 check.</w:t>
      </w:r>
    </w:p>
    <w:p>
      <w:pPr>
        <w:numPr>
          <w:ilvl w:val="0"/>
          <w:numId w:val="6"/>
        </w:numPr>
        <w:spacing w:lineRule="auto"/>
      </w:pPr>
      <w:r>
        <w:rPr/>
        <w:t xml:space="preserve">R2 Capaciteit bij migratiepiek → mitigatie: freeze-window en extra engineers; G3 readiness-check.</w:t>
      </w:r>
    </w:p>
    <w:p>
      <w:pPr>
        <w:numPr>
          <w:ilvl w:val="0"/>
          <w:numId w:val="6"/>
        </w:numPr>
        <w:spacing w:lineRule="auto"/>
      </w:pPr>
      <w:r>
        <w:rPr/>
        <w:t xml:space="preserve">R3 Vendor-afhankelijkheid → mitigatie: prioritaire support-contracten en alternatieve workaround; evidence: contractnummers op verzoek.</w:t>
      </w:r>
    </w:p>
    <w:p>
      <w:pPr>
        <w:numPr>
          <w:ilvl w:val="0"/>
          <w:numId w:val="6"/>
        </w:numPr>
        <w:spacing w:lineRule="auto"/>
      </w:pPr>
      <w:r>
        <w:rPr/>
        <w:t xml:space="preserve">R4 Change-impact op productie → mitigatie: CAB, staged rollout, back-out; evidence: change records.</w:t>
      </w:r>
    </w:p>
    <w:p>
      <w:pPr>
        <w:numPr>
          <w:ilvl w:val="0"/>
          <w:numId w:val="6"/>
        </w:numPr>
        <w:spacing w:lineRule="auto"/>
      </w:pPr>
      <w:r>
        <w:rPr/>
        <w:t xml:space="preserve">R5 Security-incident → mitigatie: 24/7 SOC-triage, playbooks; evidence: incident runbooks en oefenrapport.</w:t>
      </w:r>
    </w:p>
    <w:p>
      <w:pPr>
        <w:spacing w:lineRule="auto"/>
      </w:pPr>
      <w:r>
        <w:rPr/>
        <w:t xml:space="preserve">Opleveringen (deliverables) en bewijslast</w:t>
      </w:r>
    </w:p>
    <w:p>
      <w:pPr>
        <w:numPr>
          <w:ilvl w:val="0"/>
          <w:numId w:val="7"/>
        </w:numPr>
        <w:spacing w:lineRule="auto"/>
      </w:pPr>
      <w:r>
        <w:rPr/>
        <w:t xml:space="preserve">Plan van Aanpak (na G1), Risicodossier (levend document), KPI-overzicht en maandelijkse SLA-rapportage (vanaf M5).</w:t>
      </w:r>
    </w:p>
    <w:p>
      <w:pPr>
        <w:numPr>
          <w:ilvl w:val="0"/>
          <w:numId w:val="7"/>
        </w:numPr>
        <w:spacing w:lineRule="auto"/>
      </w:pPr>
      <w:r>
        <w:rPr/>
        <w:t xml:space="preserve">Runbooks, BCP/DR-testverslagen, jaarplan CSI, jaarlijkse MSR-verslagen en Gate-notulen (G1–G4, Jaarlijkse Gate).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8"/>
        </w:numPr>
        <w:spacing w:lineRule="auto"/>
      </w:pPr>
      <w:r>
        <w:rPr/>
        <w:t xml:space="preserve">Locatielijst, contactpersonen en escalatiematrix opdrachtgever</w:t>
      </w:r>
    </w:p>
    <w:p>
      <w:pPr>
        <w:numPr>
          <w:ilvl w:val="0"/>
          <w:numId w:val="8"/>
        </w:numPr>
        <w:spacing w:lineRule="auto"/>
      </w:pPr>
      <w:r>
        <w:rPr/>
        <w:t xml:space="preserve">Aantal gebruikers/endpoints, kritieke systemen en onderhoudsvensters</w:t>
      </w:r>
    </w:p>
    <w:p>
      <w:pPr>
        <w:numPr>
          <w:ilvl w:val="0"/>
          <w:numId w:val="8"/>
        </w:numPr>
        <w:spacing w:lineRule="auto"/>
      </w:pPr>
      <w:r>
        <w:rPr/>
        <w:t xml:space="preserve">Toegang tot huidige tenants/omgeving (M365/Azure), network diagrams en security policies</w:t>
      </w:r>
    </w:p>
    <w:p>
      <w:pPr>
        <w:numPr>
          <w:ilvl w:val="0"/>
          <w:numId w:val="8"/>
        </w:numPr>
        <w:spacing w:lineRule="auto"/>
      </w:pPr>
      <w:r>
        <w:rPr/>
        <w:t xml:space="preserve">Overzicht third-party leveranciers en supportcontracten</w:t>
      </w:r>
    </w:p>
    <w:p>
      <w:pPr>
        <w:numPr>
          <w:ilvl w:val="0"/>
          <w:numId w:val="8"/>
        </w:numPr>
        <w:spacing w:lineRule="auto"/>
      </w:pPr>
      <w:r>
        <w:rPr/>
        <w:t xml:space="preserve">Gegevens datalocaties/eisen (verwerkersovereenkomst, DPIA waar relevant)</w:t>
      </w:r>
    </w:p>
    <w:p>
      <w:pPr>
        <w:numPr>
          <w:ilvl w:val="0"/>
          <w:numId w:val="8"/>
        </w:numPr>
        <w:spacing w:lineRule="auto"/>
      </w:pPr>
      <w:r>
        <w:rPr/>
        <w:t xml:space="preserve">Verplichte compliance-eisen gemeente/NVAO-specifiek (logging, bewaartermijnen)</w:t>
      </w:r>
    </w:p>
    <w:p>
      <w:pPr>
        <w:numPr>
          <w:ilvl w:val="0"/>
          <w:numId w:val="8"/>
        </w:numPr>
        <w:spacing w:lineRule="auto"/>
      </w:pPr>
      <w:r>
        <w:rPr/>
        <w:t xml:space="preserve">Autorisatiematrix (rollen/rechten) en change-approval proces</w:t>
      </w:r>
    </w:p>
    <w:p>
      <w:pPr>
        <w:numPr>
          <w:ilvl w:val="0"/>
          <w:numId w:val="8"/>
        </w:numPr>
        <w:spacing w:lineRule="auto"/>
      </w:pPr>
      <w:r>
        <w:rPr/>
        <w:t xml:space="preserve">Beschikbare onderhoudsmomenten voor migraties en tests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