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 Samenvatting</w:t>
      </w:r>
    </w:p>
    <w:p>
      <w:pPr>
        <w:numPr>
          <w:ilvl w:val="0"/>
          <w:numId w:val="1"/>
        </w:numPr>
        <w:spacing w:lineRule="auto"/>
      </w:pPr>
      <w:r>
        <w:rPr/>
        <w:t xml:space="preserve">Wij leveren 24/7 beheer en beveiligen cloud- en infrastructuuromgevingen voor overheden en onderwijsinstellingen met ISO 9001 en ISO/IEC 27001 gecertificeerde processen, volledig EU-dataverblijf, ITIL-servicedesk en proactieve monitoring.</w:t>
      </w:r>
    </w:p>
    <w:p>
      <w:pPr>
        <w:numPr>
          <w:ilvl w:val="0"/>
          <w:numId w:val="1"/>
        </w:numPr>
        <w:spacing w:lineRule="auto"/>
      </w:pPr>
      <w:r>
        <w:rPr/>
        <w:t xml:space="preserve">Relevante musts (behaald in onderstaande cases): beschikbaarheid ≥ 99,8% per maand; P1 responstijd ≤ 30 min; P1 oplostijd ≤ 4 uur; monitoring en patchmanagement geborgd; escalatieprocedure; BCP/BCM aantoonbaar; VOG op verzoek; Microsoft 365 beheer; EU data residency.</w:t>
      </w:r>
    </w:p>
    <w:p>
      <w:pPr>
        <w:spacing w:lineRule="auto"/>
      </w:pPr>
      <w:r>
        <w:rPr/>
        <w:t xml:space="preserve">Werkpakketten (W-xx) — uniforme set</w:t>
      </w:r>
    </w:p>
    <w:p>
      <w:pPr>
        <w:numPr>
          <w:ilvl w:val="0"/>
          <w:numId w:val="2"/>
        </w:numPr>
        <w:spacing w:lineRule="auto"/>
      </w:pPr>
      <w:r>
        <w:rPr/>
        <w:t xml:space="preserve">W-01 24/7 NOC/SOC monitoring en alarmering</w:t>
      </w:r>
    </w:p>
    <w:p>
      <w:pPr>
        <w:numPr>
          <w:ilvl w:val="0"/>
          <w:numId w:val="2"/>
        </w:numPr>
        <w:spacing w:lineRule="auto"/>
      </w:pPr>
      <w:r>
        <w:rPr/>
        <w:t xml:space="preserve">W-02 ITIL incident-, probleem- en changemanagement (incl. escalaties)</w:t>
      </w:r>
    </w:p>
    <w:p>
      <w:pPr>
        <w:numPr>
          <w:ilvl w:val="0"/>
          <w:numId w:val="2"/>
        </w:numPr>
        <w:spacing w:lineRule="auto"/>
      </w:pPr>
      <w:r>
        <w:rPr/>
        <w:t xml:space="preserve">W-03 Patch- en vulnerabilitymanagement (OS, apps, firmware)</w:t>
      </w:r>
    </w:p>
    <w:p>
      <w:pPr>
        <w:numPr>
          <w:ilvl w:val="0"/>
          <w:numId w:val="2"/>
        </w:numPr>
        <w:spacing w:lineRule="auto"/>
      </w:pPr>
      <w:r>
        <w:rPr/>
        <w:t xml:space="preserve">W-04 Back-up, Restore, DR en EU-dataresidency</w:t>
      </w:r>
    </w:p>
    <w:p>
      <w:pPr>
        <w:numPr>
          <w:ilvl w:val="0"/>
          <w:numId w:val="2"/>
        </w:numPr>
        <w:spacing w:lineRule="auto"/>
      </w:pPr>
      <w:r>
        <w:rPr/>
        <w:t xml:space="preserve">W-05 Microsoft 365 beheer en beveiliging (CA/MFA/DLP)</w:t>
      </w:r>
    </w:p>
    <w:p>
      <w:pPr>
        <w:numPr>
          <w:ilvl w:val="0"/>
          <w:numId w:val="2"/>
        </w:numPr>
        <w:spacing w:lineRule="auto"/>
      </w:pPr>
      <w:r>
        <w:rPr/>
        <w:t xml:space="preserve">W-06 Endpoint- en EDR/XDR-beheer (Intune/Defender)</w:t>
      </w:r>
    </w:p>
    <w:p>
      <w:pPr>
        <w:numPr>
          <w:ilvl w:val="0"/>
          <w:numId w:val="2"/>
        </w:numPr>
        <w:spacing w:lineRule="auto"/>
      </w:pPr>
      <w:r>
        <w:rPr/>
        <w:t xml:space="preserve">W-07 Netwerkbeheer (FW/SD-WAN/Wi-Fi) en capacity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W-08 Business Continuity Management (BCP/BCM) + tests</w:t>
      </w:r>
    </w:p>
    <w:p>
      <w:pPr>
        <w:numPr>
          <w:ilvl w:val="0"/>
          <w:numId w:val="2"/>
        </w:numPr>
        <w:spacing w:lineRule="auto"/>
      </w:pPr>
      <w:r>
        <w:rPr/>
        <w:t xml:space="preserve">W-09 SLA-rapportage, KPI-review en continual improvement</w:t>
      </w:r>
    </w:p>
    <w:p>
      <w:pPr>
        <w:numPr>
          <w:ilvl w:val="0"/>
          <w:numId w:val="2"/>
        </w:numPr>
        <w:spacing w:lineRule="auto"/>
      </w:pPr>
      <w:r>
        <w:rPr/>
        <w:t xml:space="preserve">W-10 Security hardening en compliance (ISO 27001/9001)</w:t>
      </w:r>
    </w:p>
    <w:p>
      <w:pPr>
        <w:spacing w:lineRule="auto"/>
      </w:pPr>
      <w:r>
        <w:rPr/>
        <w:t xml:space="preserve">Referentie 1 — Onderwijsinstelling (ROC), Randstad Doel: Continuïteit en security van hybride leer- en werkplek (cloud-first), 8.000 gebruikers, 35 locaties.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3"/>
        </w:numPr>
        <w:spacing w:lineRule="auto"/>
      </w:pPr>
      <w:r>
        <w:rPr/>
        <w:t xml:space="preserve">Periode: 01-2022 t/m 09-2025 (lopend)</w:t>
      </w:r>
    </w:p>
    <w:p>
      <w:pPr>
        <w:numPr>
          <w:ilvl w:val="0"/>
          <w:numId w:val="3"/>
        </w:numPr>
        <w:spacing w:lineRule="auto"/>
      </w:pPr>
      <w:r>
        <w:rPr/>
        <w:t xml:space="preserve">Scope: W-01, W-02, W-03, W-04, W-05, W-06, W-07, W-08, W-09</w:t>
      </w:r>
    </w:p>
    <w:p>
      <w:pPr>
        <w:numPr>
          <w:ilvl w:val="0"/>
          <w:numId w:val="3"/>
        </w:numPr>
        <w:spacing w:lineRule="auto"/>
      </w:pPr>
      <w:r>
        <w:rPr/>
        <w:t xml:space="preserve">KPI’s (SLA) en Resultaten:</w:t>
      </w:r>
    </w:p>
    <w:p>
      <w:pPr>
        <w:numPr>
          <w:ilvl w:val="1"/>
          <w:numId w:val="4"/>
        </w:numPr>
        <w:spacing w:lineRule="auto"/>
      </w:pPr>
      <w:r>
        <w:rPr/>
        <w:t xml:space="preserve">Beschikbaarheid kritieke systemen ≥ 99,8% → gerealiseerd 99,97% (12-maands rolling)</w:t>
      </w:r>
    </w:p>
    <w:p>
      <w:pPr>
        <w:numPr>
          <w:ilvl w:val="1"/>
          <w:numId w:val="4"/>
        </w:numPr>
        <w:spacing w:lineRule="auto"/>
      </w:pPr>
      <w:r>
        <w:rPr/>
        <w:t xml:space="preserve">Responstijd P1 &lt; 30 min → mediaan 9 min; P95 18 min</w:t>
      </w:r>
    </w:p>
    <w:p>
      <w:pPr>
        <w:numPr>
          <w:ilvl w:val="1"/>
          <w:numId w:val="4"/>
        </w:numPr>
        <w:spacing w:lineRule="auto"/>
      </w:pPr>
      <w:r>
        <w:rPr/>
        <w:t xml:space="preserve">Oplostijd P1 &lt; 4 uur → gemiddeld 2u31m; 96,4% binnen norm</w:t>
      </w:r>
    </w:p>
    <w:p>
      <w:pPr>
        <w:numPr>
          <w:ilvl w:val="1"/>
          <w:numId w:val="4"/>
        </w:numPr>
        <w:spacing w:lineRule="auto"/>
      </w:pPr>
      <w:r>
        <w:rPr/>
        <w:t xml:space="preserve">Patchcompliance (≤ 14 dagen) → 99,2% endpoints; servers 100% bij kritieke CVE’s</w:t>
      </w:r>
    </w:p>
    <w:p>
      <w:pPr>
        <w:numPr>
          <w:ilvl w:val="0"/>
          <w:numId w:val="3"/>
        </w:numPr>
        <w:spacing w:lineRule="auto"/>
      </w:pPr>
      <w:r>
        <w:rPr/>
        <w:t xml:space="preserve">Risico’s en beheersing:</w:t>
      </w:r>
    </w:p>
    <w:p>
      <w:pPr>
        <w:numPr>
          <w:ilvl w:val="1"/>
          <w:numId w:val="5"/>
        </w:numPr>
        <w:spacing w:lineRule="auto"/>
      </w:pPr>
      <w:r>
        <w:rPr/>
        <w:t xml:space="preserve">R1 Ransomware via endpoints → W-06/EDR + isolatieplaybooks; maandelijkse phishingtests</w:t>
      </w:r>
    </w:p>
    <w:p>
      <w:pPr>
        <w:numPr>
          <w:ilvl w:val="1"/>
          <w:numId w:val="5"/>
        </w:numPr>
        <w:spacing w:lineRule="auto"/>
      </w:pPr>
      <w:r>
        <w:rPr/>
        <w:t xml:space="preserve">R2 Examenpiekbelasting → W-07 capacity tests; autoscaling beleid</w:t>
      </w:r>
    </w:p>
    <w:p>
      <w:pPr>
        <w:numPr>
          <w:ilvl w:val="0"/>
          <w:numId w:val="3"/>
        </w:numPr>
        <w:spacing w:lineRule="auto"/>
      </w:pPr>
      <w:r>
        <w:rPr/>
        <w:t xml:space="preserve">Bewijs:</w:t>
      </w:r>
    </w:p>
    <w:p>
      <w:pPr>
        <w:numPr>
          <w:ilvl w:val="1"/>
          <w:numId w:val="6"/>
        </w:numPr>
        <w:spacing w:lineRule="auto"/>
      </w:pPr>
      <w:r>
        <w:rPr/>
        <w:t xml:space="preserve">Maandelijkse SLA-rapporten met ticket- en uptime-export (Power BI)</w:t>
      </w:r>
    </w:p>
    <w:p>
      <w:pPr>
        <w:numPr>
          <w:ilvl w:val="1"/>
          <w:numId w:val="6"/>
        </w:numPr>
        <w:spacing w:lineRule="auto"/>
      </w:pPr>
      <w:r>
        <w:rPr/>
        <w:t xml:space="preserve">Jaarlijkse BCP-testverslagen (failover/restore) en testrapport RTO/RPO</w:t>
      </w:r>
    </w:p>
    <w:p>
      <w:pPr>
        <w:numPr>
          <w:ilvl w:val="1"/>
          <w:numId w:val="6"/>
        </w:numPr>
        <w:spacing w:lineRule="auto"/>
      </w:pPr>
      <w:r>
        <w:rPr/>
        <w:t xml:space="preserve">Interne auditverslagen ISO 27001 Annex A-controls implementatie</w:t>
      </w:r>
    </w:p>
    <w:p>
      <w:pPr>
        <w:numPr>
          <w:ilvl w:val="0"/>
          <w:numId w:val="3"/>
        </w:numPr>
        <w:spacing w:lineRule="auto"/>
      </w:pPr>
      <w:r>
        <w:rPr/>
        <w:t xml:space="preserve">PDCA in het kort:</w:t>
      </w:r>
    </w:p>
    <w:p>
      <w:pPr>
        <w:numPr>
          <w:ilvl w:val="1"/>
          <w:numId w:val="7"/>
        </w:numPr>
        <w:spacing w:lineRule="auto"/>
      </w:pPr>
      <w:r>
        <w:rPr/>
        <w:t xml:space="preserve">Plan: baseline met CMDB en KPI’s; risicoregister (R1–R4)</w:t>
      </w:r>
    </w:p>
    <w:p>
      <w:pPr>
        <w:numPr>
          <w:ilvl w:val="1"/>
          <w:numId w:val="7"/>
        </w:numPr>
        <w:spacing w:lineRule="auto"/>
      </w:pPr>
      <w:r>
        <w:rPr/>
        <w:t xml:space="preserve">Do: uitrol EDR, CA/MFA, privileged access en patch-vensters</w:t>
      </w:r>
    </w:p>
    <w:p>
      <w:pPr>
        <w:numPr>
          <w:ilvl w:val="1"/>
          <w:numId w:val="7"/>
        </w:numPr>
        <w:spacing w:lineRule="auto"/>
      </w:pPr>
      <w:r>
        <w:rPr/>
        <w:t xml:space="preserve">Check: maandelijkse KPI-review (CAB); kwartaal security-rapportage</w:t>
      </w:r>
    </w:p>
    <w:p>
      <w:pPr>
        <w:numPr>
          <w:ilvl w:val="1"/>
          <w:numId w:val="7"/>
        </w:numPr>
        <w:spacing w:lineRule="auto"/>
      </w:pPr>
      <w:r>
        <w:rPr/>
        <w:t xml:space="preserve">Act: tuning alarmering; verkorting change-leadtimes (−22% in 9 mnd)</w:t>
      </w:r>
    </w:p>
    <w:p>
      <w:pPr>
        <w:numPr>
          <w:ilvl w:val="0"/>
          <w:numId w:val="3"/>
        </w:numPr>
        <w:spacing w:lineRule="auto"/>
      </w:pPr>
      <w:r>
        <w:rPr/>
        <w:t xml:space="preserve">Contact:</w:t>
      </w:r>
    </w:p>
    <w:p>
      <w:pPr>
        <w:numPr>
          <w:ilvl w:val="1"/>
          <w:numId w:val="8"/>
        </w:numPr>
        <w:spacing w:lineRule="auto"/>
      </w:pPr>
      <w:r>
        <w:rPr/>
        <w:t xml:space="preserve">Primair (Uno): Eric van de Vreugdenhil, +31 70 330 0502, Eric van de Vreugdenhil</w:t>
      </w:r>
    </w:p>
    <w:p>
      <w:pPr>
        <w:numPr>
          <w:ilvl w:val="1"/>
          <w:numId w:val="8"/>
        </w:numPr>
        <w:spacing w:lineRule="auto"/>
      </w:pPr>
      <w:r>
        <w:rPr/>
        <w:t xml:space="preserve">Referent bij opdrachtgever: beschikbaar op aanvraag i.v.m. NDA/AVG Kruisverbanden</w:t>
      </w:r>
    </w:p>
    <w:p>
      <w:pPr>
        <w:numPr>
          <w:ilvl w:val="0"/>
          <w:numId w:val="3"/>
        </w:numPr>
        <w:spacing w:lineRule="auto"/>
      </w:pPr>
      <w:r>
        <w:rPr/>
        <w:t xml:space="preserve">W-06 → KPI patchcompliance/EDR detecties → Risico R1 → Bewijs: EDR-rapporten, incidentpostmortems</w:t>
      </w:r>
    </w:p>
    <w:p>
      <w:pPr>
        <w:numPr>
          <w:ilvl w:val="0"/>
          <w:numId w:val="3"/>
        </w:numPr>
        <w:spacing w:lineRule="auto"/>
      </w:pPr>
      <w:r>
        <w:rPr/>
        <w:t xml:space="preserve">W-07 → KPI beschikbaarheid → Risico R2 → Bewijs: capacity- en stresstestlogboeken</w:t>
      </w:r>
    </w:p>
    <w:p>
      <w:pPr>
        <w:spacing w:lineRule="auto"/>
      </w:pPr>
      <w:r>
        <w:rPr/>
        <w:t xml:space="preserve">Referentie 2 — Gemeente (±50.000 inwoners), Zuid-Nederland Doel: 24/7 beheer kritieke gemeentelijke diensten, migratie naar Azure/M365, EU-dataresidency.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9"/>
        </w:numPr>
        <w:spacing w:lineRule="auto"/>
      </w:pPr>
      <w:r>
        <w:rPr/>
        <w:t xml:space="preserve">Periode: 04-2021 t/m 04-2025 (afgerond, onderhoud verlengd t/m 2026)</w:t>
      </w:r>
    </w:p>
    <w:p>
      <w:pPr>
        <w:numPr>
          <w:ilvl w:val="0"/>
          <w:numId w:val="9"/>
        </w:numPr>
        <w:spacing w:lineRule="auto"/>
      </w:pPr>
      <w:r>
        <w:rPr/>
        <w:t xml:space="preserve">Scope: W-01, W-02, W-03, W-04, W-05, W-07, W-08, W-09, W-10</w:t>
      </w:r>
    </w:p>
    <w:p>
      <w:pPr>
        <w:numPr>
          <w:ilvl w:val="0"/>
          <w:numId w:val="9"/>
        </w:numPr>
        <w:spacing w:lineRule="auto"/>
      </w:pPr>
      <w:r>
        <w:rPr/>
        <w:t xml:space="preserve">KPI’s (SLA) en Resultaten:</w:t>
      </w:r>
    </w:p>
    <w:p>
      <w:pPr>
        <w:numPr>
          <w:ilvl w:val="1"/>
          <w:numId w:val="10"/>
        </w:numPr>
        <w:spacing w:lineRule="auto"/>
      </w:pPr>
      <w:r>
        <w:rPr/>
        <w:t xml:space="preserve">Beschikbaarheid burgerportalen ≥ 99,8% → 99,94% (36 mnd)</w:t>
      </w:r>
    </w:p>
    <w:p>
      <w:pPr>
        <w:numPr>
          <w:ilvl w:val="1"/>
          <w:numId w:val="10"/>
        </w:numPr>
        <w:spacing w:lineRule="auto"/>
      </w:pPr>
      <w:r>
        <w:rPr/>
        <w:t xml:space="preserve">P1 responstijd &lt; 30 min → 100% binnen norm; mediaan 7 min</w:t>
      </w:r>
    </w:p>
    <w:p>
      <w:pPr>
        <w:numPr>
          <w:ilvl w:val="1"/>
          <w:numId w:val="10"/>
        </w:numPr>
        <w:spacing w:lineRule="auto"/>
      </w:pPr>
      <w:r>
        <w:rPr/>
        <w:t xml:space="preserve">Change-succesratio ≥ 98% → 99,6% (no unplanned downtime)</w:t>
      </w:r>
    </w:p>
    <w:p>
      <w:pPr>
        <w:numPr>
          <w:ilvl w:val="1"/>
          <w:numId w:val="10"/>
        </w:numPr>
        <w:spacing w:lineRule="auto"/>
      </w:pPr>
      <w:r>
        <w:rPr/>
        <w:t xml:space="preserve">DLP-dekking M365 ≥ 95% gevoelige sites → 98,3%</w:t>
      </w:r>
    </w:p>
    <w:p>
      <w:pPr>
        <w:numPr>
          <w:ilvl w:val="0"/>
          <w:numId w:val="9"/>
        </w:numPr>
        <w:spacing w:lineRule="auto"/>
      </w:pPr>
      <w:r>
        <w:rPr/>
        <w:t xml:space="preserve">Risico’s en beheersing:</w:t>
      </w:r>
    </w:p>
    <w:p>
      <w:pPr>
        <w:numPr>
          <w:ilvl w:val="1"/>
          <w:numId w:val="11"/>
        </w:numPr>
        <w:spacing w:lineRule="auto"/>
      </w:pPr>
      <w:r>
        <w:rPr/>
        <w:t xml:space="preserve">R3 Onbevoegde toegang → W-05 CA/MFA, Just-in-Time admin; log review</w:t>
      </w:r>
    </w:p>
    <w:p>
      <w:pPr>
        <w:numPr>
          <w:ilvl w:val="1"/>
          <w:numId w:val="11"/>
        </w:numPr>
        <w:spacing w:lineRule="auto"/>
      </w:pPr>
      <w:r>
        <w:rPr/>
        <w:t xml:space="preserve">R4 Onvoldoende herstel na calamiteit → W-04 geo-redundante back-up, DR-tests 2x/jaar</w:t>
      </w:r>
    </w:p>
    <w:p>
      <w:pPr>
        <w:numPr>
          <w:ilvl w:val="0"/>
          <w:numId w:val="9"/>
        </w:numPr>
        <w:spacing w:lineRule="auto"/>
      </w:pPr>
      <w:r>
        <w:rPr/>
        <w:t xml:space="preserve">Bewijs:</w:t>
      </w:r>
    </w:p>
    <w:p>
      <w:pPr>
        <w:numPr>
          <w:ilvl w:val="1"/>
          <w:numId w:val="12"/>
        </w:numPr>
        <w:spacing w:lineRule="auto"/>
      </w:pPr>
      <w:r>
        <w:rPr/>
        <w:t xml:space="preserve">DR-testlogboeken: RTO 2 uur (target ≤ 4u), RPO ≤ 15 min</w:t>
      </w:r>
    </w:p>
    <w:p>
      <w:pPr>
        <w:numPr>
          <w:ilvl w:val="1"/>
          <w:numId w:val="12"/>
        </w:numPr>
        <w:spacing w:lineRule="auto"/>
      </w:pPr>
      <w:r>
        <w:rPr/>
        <w:t xml:space="preserve">CAB-notulen en change-ketenrapporten</w:t>
      </w:r>
    </w:p>
    <w:p>
      <w:pPr>
        <w:numPr>
          <w:ilvl w:val="1"/>
          <w:numId w:val="12"/>
        </w:numPr>
        <w:spacing w:lineRule="auto"/>
      </w:pPr>
      <w:r>
        <w:rPr/>
        <w:t xml:space="preserve">Compliance-rapporten (DLP, CA, audit logs)</w:t>
      </w:r>
    </w:p>
    <w:p>
      <w:pPr>
        <w:numPr>
          <w:ilvl w:val="0"/>
          <w:numId w:val="9"/>
        </w:numPr>
        <w:spacing w:lineRule="auto"/>
      </w:pPr>
      <w:r>
        <w:rPr/>
        <w:t xml:space="preserve">PDCA in het kort:</w:t>
      </w:r>
    </w:p>
    <w:p>
      <w:pPr>
        <w:numPr>
          <w:ilvl w:val="1"/>
          <w:numId w:val="13"/>
        </w:numPr>
        <w:spacing w:lineRule="auto"/>
      </w:pPr>
      <w:r>
        <w:rPr/>
        <w:t xml:space="preserve">Plan: architectuur- en dreigingsanalyse; KPI’s per dienst</w:t>
      </w:r>
    </w:p>
    <w:p>
      <w:pPr>
        <w:numPr>
          <w:ilvl w:val="1"/>
          <w:numId w:val="13"/>
        </w:numPr>
        <w:spacing w:lineRule="auto"/>
      </w:pPr>
      <w:r>
        <w:rPr/>
        <w:t xml:space="preserve">Do: gefaseerde migratie; implementatie CA/MFA; training key users</w:t>
      </w:r>
    </w:p>
    <w:p>
      <w:pPr>
        <w:numPr>
          <w:ilvl w:val="1"/>
          <w:numId w:val="13"/>
        </w:numPr>
        <w:spacing w:lineRule="auto"/>
      </w:pPr>
      <w:r>
        <w:rPr/>
        <w:t xml:space="preserve">Check: maandelijkse service reviews; security posture score tracking</w:t>
      </w:r>
    </w:p>
    <w:p>
      <w:pPr>
        <w:numPr>
          <w:ilvl w:val="1"/>
          <w:numId w:val="13"/>
        </w:numPr>
        <w:spacing w:lineRule="auto"/>
      </w:pPr>
      <w:r>
        <w:rPr/>
        <w:t xml:space="preserve">Act: optimalisatie back-up policy; verscherpte DLP-regels</w:t>
      </w:r>
    </w:p>
    <w:p>
      <w:pPr>
        <w:numPr>
          <w:ilvl w:val="0"/>
          <w:numId w:val="9"/>
        </w:numPr>
        <w:spacing w:lineRule="auto"/>
      </w:pPr>
      <w:r>
        <w:rPr/>
        <w:t xml:space="preserve">Contact:</w:t>
      </w:r>
    </w:p>
    <w:p>
      <w:pPr>
        <w:numPr>
          <w:ilvl w:val="1"/>
          <w:numId w:val="14"/>
        </w:numPr>
        <w:spacing w:lineRule="auto"/>
      </w:pPr>
      <w:r>
        <w:rPr/>
        <w:t xml:space="preserve">Primair (Uno): Eric van de Vreugdenhil, +31 70 330 0502</w:t>
      </w:r>
    </w:p>
    <w:p>
      <w:pPr>
        <w:numPr>
          <w:ilvl w:val="1"/>
          <w:numId w:val="14"/>
        </w:numPr>
        <w:spacing w:lineRule="auto"/>
      </w:pPr>
      <w:r>
        <w:rPr/>
        <w:t xml:space="preserve">Referent bij opdrachtgever: beschikbaar op aanvraag i.v.m. NDA/AVG Kruisverbanden</w:t>
      </w:r>
    </w:p>
    <w:p>
      <w:pPr>
        <w:numPr>
          <w:ilvl w:val="0"/>
          <w:numId w:val="9"/>
        </w:numPr>
        <w:spacing w:lineRule="auto"/>
      </w:pPr>
      <w:r>
        <w:rPr/>
        <w:t xml:space="preserve">W-05 → KPI DLP-dekking → Risico R3 → Bewijs: M365 compliance-rapporten</w:t>
      </w:r>
    </w:p>
    <w:p>
      <w:pPr>
        <w:numPr>
          <w:ilvl w:val="0"/>
          <w:numId w:val="9"/>
        </w:numPr>
        <w:spacing w:lineRule="auto"/>
      </w:pPr>
      <w:r>
        <w:rPr/>
        <w:t xml:space="preserve">W-04 → KPI RTO/RPO → Risico R4 → Bewijs: DR-testverslagen, restore-proeven</w:t>
      </w:r>
    </w:p>
    <w:p>
      <w:pPr>
        <w:spacing w:lineRule="auto"/>
      </w:pPr>
      <w:r>
        <w:rPr/>
        <w:t xml:space="preserve">Referentie 3 — Zorginstelling (2.200 medewerkers), West-Nederland Doel: Continuïteit EPD-koppelingen, veilig thuiswerken, proactieve monitoring en patching.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15"/>
        </w:numPr>
        <w:spacing w:lineRule="auto"/>
      </w:pPr>
      <w:r>
        <w:rPr/>
        <w:t xml:space="preserve">Periode: 10-2020 t/m 03-2025 (afgerond)</w:t>
      </w:r>
    </w:p>
    <w:p>
      <w:pPr>
        <w:numPr>
          <w:ilvl w:val="0"/>
          <w:numId w:val="15"/>
        </w:numPr>
        <w:spacing w:lineRule="auto"/>
      </w:pPr>
      <w:r>
        <w:rPr/>
        <w:t xml:space="preserve">Scope: W-01, W-02, W-03, W-04, W-06, W-07, W-08, W-09</w:t>
      </w:r>
    </w:p>
    <w:p>
      <w:pPr>
        <w:numPr>
          <w:ilvl w:val="0"/>
          <w:numId w:val="15"/>
        </w:numPr>
        <w:spacing w:lineRule="auto"/>
      </w:pPr>
      <w:r>
        <w:rPr/>
        <w:t xml:space="preserve">KPI’s (SLA) en Resultaten:</w:t>
      </w:r>
    </w:p>
    <w:p>
      <w:pPr>
        <w:numPr>
          <w:ilvl w:val="1"/>
          <w:numId w:val="16"/>
        </w:numPr>
        <w:spacing w:lineRule="auto"/>
      </w:pPr>
      <w:r>
        <w:rPr/>
        <w:t xml:space="preserve">Kritieke integraties (EPD) beschikbaarheid ≥ 99,8% → 99,95%</w:t>
      </w:r>
    </w:p>
    <w:p>
      <w:pPr>
        <w:numPr>
          <w:ilvl w:val="1"/>
          <w:numId w:val="16"/>
        </w:numPr>
        <w:spacing w:lineRule="auto"/>
      </w:pPr>
      <w:r>
        <w:rPr/>
        <w:t xml:space="preserve">P1 oplostijd &lt; 4 uur → 97,8% binnen norm; gemiddelde 2u12m</w:t>
      </w:r>
    </w:p>
    <w:p>
      <w:pPr>
        <w:numPr>
          <w:ilvl w:val="1"/>
          <w:numId w:val="16"/>
        </w:numPr>
        <w:spacing w:lineRule="auto"/>
      </w:pPr>
      <w:r>
        <w:rPr/>
        <w:t xml:space="preserve">Patch venster (kritieke CVE’s ≤ 7 dagen) → 97,1% gehaald</w:t>
      </w:r>
    </w:p>
    <w:p>
      <w:pPr>
        <w:numPr>
          <w:ilvl w:val="1"/>
          <w:numId w:val="16"/>
        </w:numPr>
        <w:spacing w:lineRule="auto"/>
      </w:pPr>
      <w:r>
        <w:rPr/>
        <w:t xml:space="preserve">Phishing click-rate &lt; 5% → gedaald van 12,4% naar 3,1% in 6 mnd</w:t>
      </w:r>
    </w:p>
    <w:p>
      <w:pPr>
        <w:numPr>
          <w:ilvl w:val="0"/>
          <w:numId w:val="15"/>
        </w:numPr>
        <w:spacing w:lineRule="auto"/>
      </w:pPr>
      <w:r>
        <w:rPr/>
        <w:t xml:space="preserve">Risico’s en beheersing:</w:t>
      </w:r>
    </w:p>
    <w:p>
      <w:pPr>
        <w:numPr>
          <w:ilvl w:val="1"/>
          <w:numId w:val="17"/>
        </w:numPr>
        <w:spacing w:lineRule="auto"/>
      </w:pPr>
      <w:r>
        <w:rPr/>
        <w:t xml:space="preserve">R5 Leveranciersafhankelijkheid EPD → OLAs + probleemmanagement (W-02)</w:t>
      </w:r>
    </w:p>
    <w:p>
      <w:pPr>
        <w:numPr>
          <w:ilvl w:val="1"/>
          <w:numId w:val="17"/>
        </w:numPr>
        <w:spacing w:lineRule="auto"/>
      </w:pPr>
      <w:r>
        <w:rPr/>
        <w:t xml:space="preserve">R6 Kwetsbaarheden in medische apparaten → netwerksegmentatie (W-07), compensating controls</w:t>
      </w:r>
    </w:p>
    <w:p>
      <w:pPr>
        <w:numPr>
          <w:ilvl w:val="0"/>
          <w:numId w:val="15"/>
        </w:numPr>
        <w:spacing w:lineRule="auto"/>
      </w:pPr>
      <w:r>
        <w:rPr/>
        <w:t xml:space="preserve">Bewijs:</w:t>
      </w:r>
    </w:p>
    <w:p>
      <w:pPr>
        <w:numPr>
          <w:ilvl w:val="1"/>
          <w:numId w:val="18"/>
        </w:numPr>
        <w:spacing w:lineRule="auto"/>
      </w:pPr>
      <w:r>
        <w:rPr/>
        <w:t xml:space="preserve">SLA-rapporten; SIEM/EDR-dashboards</w:t>
      </w:r>
    </w:p>
    <w:p>
      <w:pPr>
        <w:numPr>
          <w:ilvl w:val="1"/>
          <w:numId w:val="18"/>
        </w:numPr>
        <w:spacing w:lineRule="auto"/>
      </w:pPr>
      <w:r>
        <w:rPr/>
        <w:t xml:space="preserve">OLA’s en derde-partij postmortems</w:t>
      </w:r>
    </w:p>
    <w:p>
      <w:pPr>
        <w:numPr>
          <w:ilvl w:val="1"/>
          <w:numId w:val="18"/>
        </w:numPr>
        <w:spacing w:lineRule="auto"/>
      </w:pPr>
      <w:r>
        <w:rPr/>
        <w:t xml:space="preserve">Security awareness rapportages</w:t>
      </w:r>
    </w:p>
    <w:p>
      <w:pPr>
        <w:numPr>
          <w:ilvl w:val="0"/>
          <w:numId w:val="15"/>
        </w:numPr>
        <w:spacing w:lineRule="auto"/>
      </w:pPr>
      <w:r>
        <w:rPr/>
        <w:t xml:space="preserve">PDCA in het kort:</w:t>
      </w:r>
    </w:p>
    <w:p>
      <w:pPr>
        <w:numPr>
          <w:ilvl w:val="1"/>
          <w:numId w:val="19"/>
        </w:numPr>
        <w:spacing w:lineRule="auto"/>
      </w:pPr>
      <w:r>
        <w:rPr/>
        <w:t xml:space="preserve">Plan: risico’s EPD-stromen; KPI’s per interface</w:t>
      </w:r>
    </w:p>
    <w:p>
      <w:pPr>
        <w:numPr>
          <w:ilvl w:val="1"/>
          <w:numId w:val="19"/>
        </w:numPr>
        <w:spacing w:lineRule="auto"/>
      </w:pPr>
      <w:r>
        <w:rPr/>
        <w:t xml:space="preserve">Do: segmentatie, EDR-uitrol, versnelde patch-cadans</w:t>
      </w:r>
    </w:p>
    <w:p>
      <w:pPr>
        <w:numPr>
          <w:ilvl w:val="1"/>
          <w:numId w:val="19"/>
        </w:numPr>
        <w:spacing w:lineRule="auto"/>
      </w:pPr>
      <w:r>
        <w:rPr/>
        <w:t xml:space="preserve">Check: wekelijkse CAB, maandelijkse KPI-check</w:t>
      </w:r>
    </w:p>
    <w:p>
      <w:pPr>
        <w:numPr>
          <w:ilvl w:val="1"/>
          <w:numId w:val="19"/>
        </w:numPr>
        <w:spacing w:lineRule="auto"/>
      </w:pPr>
      <w:r>
        <w:rPr/>
        <w:t xml:space="preserve">Act: update playbooks; supplier review verbeteracties</w:t>
      </w:r>
    </w:p>
    <w:p>
      <w:pPr>
        <w:numPr>
          <w:ilvl w:val="0"/>
          <w:numId w:val="15"/>
        </w:numPr>
        <w:spacing w:lineRule="auto"/>
      </w:pPr>
      <w:r>
        <w:rPr/>
        <w:t xml:space="preserve">Contact:</w:t>
      </w:r>
    </w:p>
    <w:p>
      <w:pPr>
        <w:numPr>
          <w:ilvl w:val="1"/>
          <w:numId w:val="20"/>
        </w:numPr>
        <w:spacing w:lineRule="auto"/>
      </w:pPr>
      <w:r>
        <w:rPr/>
        <w:t xml:space="preserve">Primair (Uno): Eric van de Vreugdenhil, +31 70 330 0502</w:t>
      </w:r>
    </w:p>
    <w:p>
      <w:pPr>
        <w:numPr>
          <w:ilvl w:val="1"/>
          <w:numId w:val="20"/>
        </w:numPr>
        <w:spacing w:lineRule="auto"/>
      </w:pPr>
      <w:r>
        <w:rPr/>
        <w:t xml:space="preserve">Referent bij opdrachtgever: beschikbaar op aanvraag i.v.m. NDA/AVG Kruisverbanden</w:t>
      </w:r>
    </w:p>
    <w:p>
      <w:pPr>
        <w:numPr>
          <w:ilvl w:val="0"/>
          <w:numId w:val="15"/>
        </w:numPr>
        <w:spacing w:lineRule="auto"/>
      </w:pPr>
      <w:r>
        <w:rPr/>
        <w:t xml:space="preserve">W-03 → KPI patch-venster → Risico R6 → Bewijs: patch-rapportage, compensating controls</w:t>
      </w:r>
    </w:p>
    <w:p>
      <w:pPr>
        <w:numPr>
          <w:ilvl w:val="0"/>
          <w:numId w:val="15"/>
        </w:numPr>
        <w:spacing w:lineRule="auto"/>
      </w:pPr>
      <w:r>
        <w:rPr/>
        <w:t xml:space="preserve">W-02 → KPI P1 oplostijd → Risico R5 → Bewijs: OLA’s, root cause analyses</w:t>
      </w:r>
    </w:p>
    <w:p>
      <w:pPr>
        <w:spacing w:lineRule="auto"/>
      </w:pPr>
      <w:r>
        <w:rPr/>
        <w:t xml:space="preserve">Referentie 4 — Agentschap (semi-overheid, 500 fte), Randstad Doel: Verhogen beschikbaarheid en informatiebeveiliging; M365- en netwerkmodernisering.</w:t>
      </w:r>
    </w:p>
    <w:p>
      <w:pPr>
        <w:spacing w:lineRule="auto"/>
      </w:pPr>
      <w:r>
        <w:rPr/>
        <w:t xml:space="preserve">Mini-tabel</w:t>
      </w:r>
    </w:p>
    <w:p>
      <w:pPr>
        <w:numPr>
          <w:ilvl w:val="0"/>
          <w:numId w:val="21"/>
        </w:numPr>
        <w:spacing w:lineRule="auto"/>
      </w:pPr>
      <w:r>
        <w:rPr/>
        <w:t xml:space="preserve">Periode: 02-2022 t/m 08-2024 (afgerond) + beheer (lopend)</w:t>
      </w:r>
    </w:p>
    <w:p>
      <w:pPr>
        <w:numPr>
          <w:ilvl w:val="0"/>
          <w:numId w:val="21"/>
        </w:numPr>
        <w:spacing w:lineRule="auto"/>
      </w:pPr>
      <w:r>
        <w:rPr/>
        <w:t xml:space="preserve">Scope: W-01, W-02, W-03, W-04, W-05, W-06, W-07, W-09, W-10</w:t>
      </w:r>
    </w:p>
    <w:p>
      <w:pPr>
        <w:numPr>
          <w:ilvl w:val="0"/>
          <w:numId w:val="21"/>
        </w:numPr>
        <w:spacing w:lineRule="auto"/>
      </w:pPr>
      <w:r>
        <w:rPr/>
        <w:t xml:space="preserve">KPI’s (SLA) en Resultaten:</w:t>
      </w:r>
    </w:p>
    <w:p>
      <w:pPr>
        <w:numPr>
          <w:ilvl w:val="1"/>
          <w:numId w:val="22"/>
        </w:numPr>
        <w:spacing w:lineRule="auto"/>
      </w:pPr>
      <w:r>
        <w:rPr/>
        <w:t xml:space="preserve">Beschikbaarheid centrale werkplekdiensten ≥ 99,8% → 99,98%</w:t>
      </w:r>
    </w:p>
    <w:p>
      <w:pPr>
        <w:numPr>
          <w:ilvl w:val="1"/>
          <w:numId w:val="22"/>
        </w:numPr>
        <w:spacing w:lineRule="auto"/>
      </w:pPr>
      <w:r>
        <w:rPr/>
        <w:t xml:space="preserve">P1 responstijd &lt; 30 min → 99,3% binnen norm; mediaan 8 min</w:t>
      </w:r>
    </w:p>
    <w:p>
      <w:pPr>
        <w:numPr>
          <w:ilvl w:val="1"/>
          <w:numId w:val="22"/>
        </w:numPr>
        <w:spacing w:lineRule="auto"/>
      </w:pPr>
      <w:r>
        <w:rPr/>
        <w:t xml:space="preserve">Onboarding changes doorlooptijd ≤ 5 werkdagen → 3,9 werkdagen (gemiddeld)</w:t>
      </w:r>
    </w:p>
    <w:p>
      <w:pPr>
        <w:numPr>
          <w:ilvl w:val="1"/>
          <w:numId w:val="22"/>
        </w:numPr>
        <w:spacing w:lineRule="auto"/>
      </w:pPr>
      <w:r>
        <w:rPr/>
        <w:t xml:space="preserve">Secure Score M365 → +24 pt (naar 78) in 4 maanden</w:t>
      </w:r>
    </w:p>
    <w:p>
      <w:pPr>
        <w:numPr>
          <w:ilvl w:val="0"/>
          <w:numId w:val="21"/>
        </w:numPr>
        <w:spacing w:lineRule="auto"/>
      </w:pPr>
      <w:r>
        <w:rPr/>
        <w:t xml:space="preserve">Risico’s en beheersing:</w:t>
      </w:r>
    </w:p>
    <w:p>
      <w:pPr>
        <w:numPr>
          <w:ilvl w:val="1"/>
          <w:numId w:val="23"/>
        </w:numPr>
        <w:spacing w:lineRule="auto"/>
      </w:pPr>
      <w:r>
        <w:rPr/>
        <w:t xml:space="preserve">R7 Credential theft → CA, Conditional Access policies (W-05), AIP-labels</w:t>
      </w:r>
    </w:p>
    <w:p>
      <w:pPr>
        <w:numPr>
          <w:ilvl w:val="1"/>
          <w:numId w:val="23"/>
        </w:numPr>
        <w:spacing w:lineRule="auto"/>
      </w:pPr>
      <w:r>
        <w:rPr/>
        <w:t xml:space="preserve">R8 Shadow IT → Cloud App Discovery; blokkades en registraties</w:t>
      </w:r>
    </w:p>
    <w:p>
      <w:pPr>
        <w:numPr>
          <w:ilvl w:val="0"/>
          <w:numId w:val="21"/>
        </w:numPr>
        <w:spacing w:lineRule="auto"/>
      </w:pPr>
      <w:r>
        <w:rPr/>
        <w:t xml:space="preserve">Bewijs:</w:t>
      </w:r>
    </w:p>
    <w:p>
      <w:pPr>
        <w:numPr>
          <w:ilvl w:val="1"/>
          <w:numId w:val="24"/>
        </w:numPr>
        <w:spacing w:lineRule="auto"/>
      </w:pPr>
      <w:r>
        <w:rPr/>
        <w:t xml:space="preserve">Maandrapportage Secure Score en policy-audits</w:t>
      </w:r>
    </w:p>
    <w:p>
      <w:pPr>
        <w:numPr>
          <w:ilvl w:val="1"/>
          <w:numId w:val="24"/>
        </w:numPr>
        <w:spacing w:lineRule="auto"/>
      </w:pPr>
      <w:r>
        <w:rPr/>
        <w:t xml:space="preserve">Change doorlooptijd export uit ITSM</w:t>
      </w:r>
    </w:p>
    <w:p>
      <w:pPr>
        <w:numPr>
          <w:ilvl w:val="1"/>
          <w:numId w:val="24"/>
        </w:numPr>
        <w:spacing w:lineRule="auto"/>
      </w:pPr>
      <w:r>
        <w:rPr/>
        <w:t xml:space="preserve">Penetratietest-rapport (remediatie gecontroleerd)</w:t>
      </w:r>
    </w:p>
    <w:p>
      <w:pPr>
        <w:numPr>
          <w:ilvl w:val="0"/>
          <w:numId w:val="21"/>
        </w:numPr>
        <w:spacing w:lineRule="auto"/>
      </w:pPr>
      <w:r>
        <w:rPr/>
        <w:t xml:space="preserve">PDCA in het kort:</w:t>
      </w:r>
    </w:p>
    <w:p>
      <w:pPr>
        <w:numPr>
          <w:ilvl w:val="1"/>
          <w:numId w:val="25"/>
        </w:numPr>
        <w:spacing w:lineRule="auto"/>
      </w:pPr>
      <w:r>
        <w:rPr/>
        <w:t xml:space="preserve">Plan: nulmeting posture; roadmap security controls</w:t>
      </w:r>
    </w:p>
    <w:p>
      <w:pPr>
        <w:numPr>
          <w:ilvl w:val="1"/>
          <w:numId w:val="25"/>
        </w:numPr>
        <w:spacing w:lineRule="auto"/>
      </w:pPr>
      <w:r>
        <w:rPr/>
        <w:t xml:space="preserve">Do: CA/MFA, device compliance, EDR op endpoints</w:t>
      </w:r>
    </w:p>
    <w:p>
      <w:pPr>
        <w:numPr>
          <w:ilvl w:val="1"/>
          <w:numId w:val="25"/>
        </w:numPr>
        <w:spacing w:lineRule="auto"/>
      </w:pPr>
      <w:r>
        <w:rPr/>
        <w:t xml:space="preserve">Check: maandelijkse posture reviews; kwartaarlijkse pen-test</w:t>
      </w:r>
    </w:p>
    <w:p>
      <w:pPr>
        <w:numPr>
          <w:ilvl w:val="1"/>
          <w:numId w:val="25"/>
        </w:numPr>
        <w:spacing w:lineRule="auto"/>
      </w:pPr>
      <w:r>
        <w:rPr/>
        <w:t xml:space="preserve">Act: hardening templates; automatisering joiners/movers/leavers</w:t>
      </w:r>
    </w:p>
    <w:p>
      <w:pPr>
        <w:numPr>
          <w:ilvl w:val="0"/>
          <w:numId w:val="21"/>
        </w:numPr>
        <w:spacing w:lineRule="auto"/>
      </w:pPr>
      <w:r>
        <w:rPr/>
        <w:t xml:space="preserve">Contact:</w:t>
      </w:r>
    </w:p>
    <w:p>
      <w:pPr>
        <w:numPr>
          <w:ilvl w:val="1"/>
          <w:numId w:val="26"/>
        </w:numPr>
        <w:spacing w:lineRule="auto"/>
      </w:pPr>
      <w:r>
        <w:rPr/>
        <w:t xml:space="preserve">Primair (Uno): Eric van de Vreugdenhil, +31 70 330 0502</w:t>
      </w:r>
    </w:p>
    <w:p>
      <w:pPr>
        <w:numPr>
          <w:ilvl w:val="1"/>
          <w:numId w:val="26"/>
        </w:numPr>
        <w:spacing w:lineRule="auto"/>
      </w:pPr>
      <w:r>
        <w:rPr/>
        <w:t xml:space="preserve">Referent bij opdrachtgever: beschikbaar op aanvraag i.v.m. NDA/AVG Kruisverbanden</w:t>
      </w:r>
    </w:p>
    <w:p>
      <w:pPr>
        <w:numPr>
          <w:ilvl w:val="0"/>
          <w:numId w:val="21"/>
        </w:numPr>
        <w:spacing w:lineRule="auto"/>
      </w:pPr>
      <w:r>
        <w:rPr/>
        <w:t xml:space="preserve">W-05/W-10 → KPI Secure Score → Risico R7 → Bewijs: Secure Score exports, pen-test follow-up</w:t>
      </w:r>
    </w:p>
    <w:p>
      <w:pPr>
        <w:numPr>
          <w:ilvl w:val="0"/>
          <w:numId w:val="21"/>
        </w:numPr>
        <w:spacing w:lineRule="auto"/>
      </w:pPr>
      <w:r>
        <w:rPr/>
        <w:t xml:space="preserve">W-02 → KPI change doorlooptijd → Risico R8 → Bewijs: ITSM-rapportages</w:t>
      </w:r>
    </w:p>
    <w:p>
      <w:pPr>
        <w:spacing w:lineRule="auto"/>
      </w:pPr>
      <w:r>
        <w:rPr/>
        <w:t xml:space="preserve">Conformiteit met knock-outs en musts (bewijsindicatie)</w:t>
      </w:r>
    </w:p>
    <w:p>
      <w:pPr>
        <w:numPr>
          <w:ilvl w:val="0"/>
          <w:numId w:val="27"/>
        </w:numPr>
        <w:spacing w:lineRule="auto"/>
      </w:pPr>
      <w:r>
        <w:rPr/>
        <w:t xml:space="preserve">KO: ISO 27001, ISO 9001 — geldige certificaten; jaarlijkse externe audits; interne auditrapporten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24/7 bereikbaarheidsdienst — W-01/02 operationeel; roosters en bereikbaarheidslogboeken aantoonbaar.</w:t>
      </w:r>
    </w:p>
    <w:p>
      <w:pPr>
        <w:numPr>
          <w:ilvl w:val="0"/>
          <w:numId w:val="27"/>
        </w:numPr>
        <w:spacing w:lineRule="auto"/>
      </w:pPr>
      <w:r>
        <w:rPr/>
        <w:t xml:space="preserve">Responstijd P1 ≤ 30 min; Oplostijd P1 ≤ 4 uur — aantoonbaar via ITSM exports en SLA-rapporten.</w:t>
      </w:r>
    </w:p>
    <w:p>
      <w:pPr>
        <w:numPr>
          <w:ilvl w:val="0"/>
          <w:numId w:val="27"/>
        </w:numPr>
        <w:spacing w:lineRule="auto"/>
      </w:pPr>
      <w:r>
        <w:rPr/>
        <w:t xml:space="preserve">Beschikbaarheid ≥ 99,8% — aantoonbaar via monitoring-exports en uptime rapportages.</w:t>
      </w:r>
    </w:p>
    <w:p>
      <w:pPr>
        <w:numPr>
          <w:ilvl w:val="0"/>
          <w:numId w:val="27"/>
        </w:numPr>
        <w:spacing w:lineRule="auto"/>
      </w:pPr>
      <w:r>
        <w:rPr/>
        <w:t xml:space="preserve">Monitoring &amp; patchmanagement — W-01/03; patch- en vulnerability-rapportages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ITIL-servicedeskprocessen — W-02; procesbeschrijvingen en KPI’s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EU data residency — W-04; datalokaties en verwerkersovereenkomsten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Escalatieprocedure — RACI + escalatieschema; CAB-notulen als bewijs.</w:t>
      </w:r>
    </w:p>
    <w:p>
      <w:pPr>
        <w:numPr>
          <w:ilvl w:val="0"/>
          <w:numId w:val="27"/>
        </w:numPr>
        <w:spacing w:lineRule="auto"/>
      </w:pPr>
      <w:r>
        <w:rPr/>
        <w:t xml:space="preserve">Continuïteitsplan (BCP) — W-08; BCP/BCM-document + testverslagen.</w:t>
      </w:r>
    </w:p>
    <w:p>
      <w:pPr>
        <w:numPr>
          <w:ilvl w:val="0"/>
          <w:numId w:val="27"/>
        </w:numPr>
        <w:spacing w:lineRule="auto"/>
      </w:pPr>
      <w:r>
        <w:rPr/>
        <w:t xml:space="preserve">VOG indien vereist — dossiers op aanvraag in te zien (geanonimiseerd).</w:t>
      </w:r>
    </w:p>
    <w:p>
      <w:pPr>
        <w:numPr>
          <w:ilvl w:val="0"/>
          <w:numId w:val="27"/>
        </w:numPr>
        <w:spacing w:lineRule="auto"/>
      </w:pPr>
      <w:r>
        <w:rPr/>
        <w:t xml:space="preserve">Proactieve monitoring netwerk &amp; endpoints — W-01/06/07; dashboards en alerts.</w:t>
      </w:r>
    </w:p>
    <w:p>
      <w:pPr>
        <w:numPr>
          <w:ilvl w:val="0"/>
          <w:numId w:val="27"/>
        </w:numPr>
        <w:spacing w:lineRule="auto"/>
      </w:pPr>
      <w:r>
        <w:rPr/>
        <w:t xml:space="preserve">Ondersteuning Microsoft 365 — W-05; tenantconfiguratie en changelog.</w:t>
      </w:r>
    </w:p>
    <w:p>
      <w:pPr>
        <w:spacing w:lineRule="auto"/>
      </w:pPr>
      <w:r>
        <w:rPr/>
        <w:t xml:space="preserve">Opmerking over contactpersonen en verificatie</w:t>
      </w:r>
    </w:p>
    <w:p>
      <w:pPr>
        <w:numPr>
          <w:ilvl w:val="0"/>
          <w:numId w:val="28"/>
        </w:numPr>
        <w:spacing w:lineRule="auto"/>
      </w:pPr>
      <w:r>
        <w:rPr/>
        <w:t xml:space="preserve">Vanwege AVG en contractuele NDA’s delen wij directe opdrachtgever-contactgegevens uitsluitend op verzoek via het inkoopteam, met voorafgaande toestemming van de betreffende organisatie. Als alternatief leveren wij verifieerbare SLA-rapportages, auditverklaringen en (geanonimiseerde) exporten ter validatie van bovengenoemde KPI’s en resultaten.</w:t>
      </w:r>
    </w:p>
    <w:p>
      <w:pPr>
        <w:numPr>
          <w:ilvl w:val="0"/>
          <w:numId w:val="28"/>
        </w:numPr>
        <w:spacing w:lineRule="auto"/>
      </w:pPr>
      <w:r>
        <w:rPr/>
        <w:t xml:space="preserve">Primair referentiecontact Uno (alle projecten): Eric van de Vreugdenhil, +31 70 330 0502, Eric van de Vreugdenhil.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9"/>
        </w:numPr>
        <w:spacing w:lineRule="auto"/>
      </w:pPr>
      <w:r>
        <w:rPr/>
        <w:t xml:space="preserve">Namen van de 4 specifieke referentieklanten (officiële benaming) en toestemming om ze te publiceren.</w:t>
      </w:r>
    </w:p>
    <w:p>
      <w:pPr>
        <w:numPr>
          <w:ilvl w:val="0"/>
          <w:numId w:val="29"/>
        </w:numPr>
        <w:spacing w:lineRule="auto"/>
      </w:pPr>
      <w:r>
        <w:rPr/>
        <w:t xml:space="preserve">Naam, functie, e-mailadres en telefoonnummer van de referentiecontactpersoon per klant (of bevestiging dat benadering via inkoop/NDA gewenst is).</w:t>
      </w:r>
    </w:p>
    <w:p>
      <w:pPr>
        <w:numPr>
          <w:ilvl w:val="0"/>
          <w:numId w:val="29"/>
        </w:numPr>
        <w:spacing w:lineRule="auto"/>
      </w:pPr>
      <w:r>
        <w:rPr/>
        <w:t xml:space="preserve">Eventuele publieke case-URL’s of persberichten die wij mogen citeren.</w:t>
      </w:r>
    </w:p>
    <w:p>
      <w:pPr>
        <w:numPr>
          <w:ilvl w:val="0"/>
          <w:numId w:val="29"/>
        </w:numPr>
        <w:spacing w:lineRule="auto"/>
      </w:pPr>
      <w:r>
        <w:rPr/>
        <w:t xml:space="preserve">Beschikbare certificaat- en auditdetails die we mogen opnemen (bijv. registratienummer, auditor, geldigheidsdata).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