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headerReference r:id="rId6" w:type="default"/>
      <w:footerReference r:id="rId7" w:type="default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README — Lees Mij</w:t>
      </w:r>
    </w:p>
    <w:p>
      <w:pPr>
        <w:pStyle w:val="Heading2"/>
        <w:spacing w:lineRule="auto"/>
      </w:pPr>
      <w:r>
        <w:rPr/>
        <w:t xml:space="preserve">Uno Automatiseringdiensten B.V. — Raamovereenkomst Catering- en Horecadiensten voor Gemeente Middenstad</w:t>
      </w:r>
    </w:p>
    <w:p>
      <w:pPr>
        <w:spacing w:lineRule="auto"/>
      </w:pPr>
      <w:r>
        <w:rPr/>
        <w:t xml:space="preserve">     26 november 2025</w:t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     Automatisch gegenereerd door </w:t>
      </w:r>
    </w:p>
    <w:p>
      <w:pPr>
        <w:spacing w:lineRule="auto"/>
      </w:pPr>
      <w:r>
        <w:rPr>
          <w:b/>
        </w:rPr>
        <w:t xml:space="preserve">TenderAI</w:t>
      </w:r>
    </w:p>
    <w:p>
      <w:r>
        <w:br w:type="page"/>
      </w:r>
    </w:p>
    <w:p>
      <w:pPr>
        <w:spacing w:lineRule="auto"/>
      </w:pPr>
      <w:r>
        <w:rPr/>
        <w:t xml:space="preserve">README — Raamovereenkomst Catering- en Horecadiensten voor Gemeente Middenstad (Project 1380, NVAO)</w:t>
      </w:r>
    </w:p>
    <w:p>
      <w:pPr>
        <w:spacing w:lineRule="auto"/>
      </w:pPr>
      <w:r>
        <w:rPr/>
        <w:t xml:space="preserve">Doel</w:t>
      </w:r>
    </w:p>
    <w:p>
      <w:pPr>
        <w:numPr>
          <w:ilvl w:val="0"/>
          <w:numId w:val="1"/>
        </w:numPr>
        <w:spacing w:lineRule="auto"/>
      </w:pPr>
      <w:r>
        <w:rPr/>
        <w:t xml:space="preserve">Deze README geeft snel inzicht in doel, inhoud, structuur en leesvolgorde van het inschrijfpakket.</w:t>
      </w:r>
    </w:p>
    <w:p>
      <w:pPr>
        <w:numPr>
          <w:ilvl w:val="0"/>
          <w:numId w:val="1"/>
        </w:numPr>
        <w:spacing w:lineRule="auto"/>
      </w:pPr>
      <w:r>
        <w:rPr/>
        <w:t xml:space="preserve">Focus: aantoonbare naleving KO- en MUST-eisen, PDCA-borging, EMVI-score maximalisatie en beheerbare uitvoering.</w:t>
      </w:r>
    </w:p>
    <w:p>
      <w:pPr>
        <w:spacing w:lineRule="auto"/>
      </w:pPr>
      <w:r>
        <w:rPr/>
        <w:t xml:space="preserve">Inhoud (meegeleverde documenten)</w:t>
      </w:r>
    </w:p>
    <w:p>
      <w:pPr>
        <w:numPr>
          <w:ilvl w:val="0"/>
          <w:numId w:val="2"/>
        </w:numPr>
        <w:spacing w:lineRule="auto"/>
      </w:pPr>
      <w:r>
        <w:rPr/>
        <w:t xml:space="preserve">00_README_lees_mij.md (dit document)</w:t>
      </w:r>
    </w:p>
    <w:p>
      <w:pPr>
        <w:numPr>
          <w:ilvl w:val="0"/>
          <w:numId w:val="2"/>
        </w:numPr>
        <w:spacing w:lineRule="auto"/>
      </w:pPr>
      <w:r>
        <w:rPr/>
        <w:t xml:space="preserve">01_Plan_van_Aanpak (PvA)</w:t>
      </w:r>
    </w:p>
    <w:p>
      <w:pPr>
        <w:numPr>
          <w:ilvl w:val="0"/>
          <w:numId w:val="2"/>
        </w:numPr>
        <w:spacing w:lineRule="auto"/>
      </w:pPr>
      <w:r>
        <w:rPr/>
        <w:t xml:space="preserve">02_Risicodossier</w:t>
      </w:r>
    </w:p>
    <w:p>
      <w:pPr>
        <w:numPr>
          <w:ilvl w:val="0"/>
          <w:numId w:val="2"/>
        </w:numPr>
        <w:spacing w:lineRule="auto"/>
      </w:pPr>
      <w:r>
        <w:rPr/>
        <w:t xml:space="preserve">03_KPI-overzicht</w:t>
      </w:r>
    </w:p>
    <w:p>
      <w:pPr>
        <w:numPr>
          <w:ilvl w:val="0"/>
          <w:numId w:val="2"/>
        </w:numPr>
        <w:spacing w:lineRule="auto"/>
      </w:pPr>
      <w:r>
        <w:rPr/>
        <w:t xml:space="preserve">04_SLA-overzicht (beschikbaarheid, responstijd, oplostijd)</w:t>
      </w:r>
    </w:p>
    <w:p>
      <w:pPr>
        <w:numPr>
          <w:ilvl w:val="0"/>
          <w:numId w:val="2"/>
        </w:numPr>
        <w:spacing w:lineRule="auto"/>
      </w:pPr>
      <w:r>
        <w:rPr/>
        <w:t xml:space="preserve">05_Veronderstellingen &amp; Uitsluitingen</w:t>
      </w:r>
    </w:p>
    <w:p>
      <w:pPr>
        <w:numPr>
          <w:ilvl w:val="0"/>
          <w:numId w:val="2"/>
        </w:numPr>
        <w:spacing w:lineRule="auto"/>
      </w:pPr>
      <w:r>
        <w:rPr/>
        <w:t xml:space="preserve">06 ISO-bewijs: certificaten ISO 9001 en ISO 27001</w:t>
      </w:r>
    </w:p>
    <w:p>
      <w:pPr>
        <w:spacing w:lineRule="auto"/>
      </w:pPr>
      <w:r>
        <w:rPr/>
        <w:t xml:space="preserve">Structuur en navigatie</w:t>
      </w:r>
    </w:p>
    <w:p>
      <w:pPr>
        <w:numPr>
          <w:ilvl w:val="0"/>
          <w:numId w:val="3"/>
        </w:numPr>
        <w:spacing w:lineRule="auto"/>
      </w:pPr>
      <w:r>
        <w:rPr/>
        <w:t xml:space="preserve">Nummering per document (01–06) en interne ID’s:</w:t>
      </w:r>
    </w:p>
    <w:p>
      <w:pPr>
        <w:numPr>
          <w:ilvl w:val="1"/>
          <w:numId w:val="4"/>
        </w:numPr>
        <w:spacing w:lineRule="auto"/>
      </w:pPr>
      <w:r>
        <w:rPr/>
        <w:t xml:space="preserve">Werkpakketten: W-xx (in PvA)</w:t>
      </w:r>
    </w:p>
    <w:p>
      <w:pPr>
        <w:numPr>
          <w:ilvl w:val="1"/>
          <w:numId w:val="4"/>
        </w:numPr>
        <w:spacing w:lineRule="auto"/>
      </w:pPr>
      <w:r>
        <w:rPr/>
        <w:t xml:space="preserve">KPI’s: KPI-xx (in KPI-overzicht)</w:t>
      </w:r>
    </w:p>
    <w:p>
      <w:pPr>
        <w:numPr>
          <w:ilvl w:val="1"/>
          <w:numId w:val="4"/>
        </w:numPr>
        <w:spacing w:lineRule="auto"/>
      </w:pPr>
      <w:r>
        <w:rPr/>
        <w:t xml:space="preserve">Risico’s: R-xx (in Risicodossier)</w:t>
      </w:r>
    </w:p>
    <w:p>
      <w:pPr>
        <w:numPr>
          <w:ilvl w:val="1"/>
          <w:numId w:val="4"/>
        </w:numPr>
        <w:spacing w:lineRule="auto"/>
      </w:pPr>
      <w:r>
        <w:rPr/>
        <w:t xml:space="preserve">Bewijs/artefacten: B-xx (in ISO-bewijs, procedures, rapportages)</w:t>
      </w:r>
    </w:p>
    <w:p>
      <w:pPr>
        <w:numPr>
          <w:ilvl w:val="0"/>
          <w:numId w:val="3"/>
        </w:numPr>
        <w:spacing w:lineRule="auto"/>
      </w:pPr>
      <w:r>
        <w:rPr/>
        <w:t xml:space="preserve">Kruisverwijzingen:</w:t>
      </w:r>
    </w:p>
    <w:p>
      <w:pPr>
        <w:numPr>
          <w:ilvl w:val="1"/>
          <w:numId w:val="5"/>
        </w:numPr>
        <w:spacing w:lineRule="auto"/>
      </w:pPr>
      <w:r>
        <w:rPr/>
        <w:t xml:space="preserve">Elk werkpakket (W-xx) is gekoppeld aan relevante KPI’s (KPI-xx), gerelateerde risico’s (R-xx) en passend bewijs (B-xx).</w:t>
      </w:r>
    </w:p>
    <w:p>
      <w:pPr>
        <w:numPr>
          <w:ilvl w:val="1"/>
          <w:numId w:val="5"/>
        </w:numPr>
        <w:spacing w:lineRule="auto"/>
      </w:pPr>
      <w:r>
        <w:rPr/>
        <w:t xml:space="preserve">Voorbeeld: W- Proactieve monitoring → KPI Beschikbaarheid 99,8% → R- Uitval kritieke systemen → B- Monitoring- en patchrapporten, ISO-certificaten.</w:t>
      </w:r>
    </w:p>
    <w:p>
      <w:pPr>
        <w:numPr>
          <w:ilvl w:val="0"/>
          <w:numId w:val="3"/>
        </w:numPr>
        <w:spacing w:lineRule="auto"/>
      </w:pPr>
      <w:r>
        <w:rPr/>
        <w:t xml:space="preserve">EMVI-koppeling (waar te vinden):</w:t>
      </w:r>
    </w:p>
    <w:p>
      <w:pPr>
        <w:numPr>
          <w:ilvl w:val="1"/>
          <w:numId w:val="6"/>
        </w:numPr>
        <w:spacing w:lineRule="auto"/>
      </w:pPr>
      <w:r>
        <w:rPr/>
        <w:t xml:space="preserve">Kwaliteit (40%): PvA + KPI-overzicht + SLA-overzicht</w:t>
      </w:r>
    </w:p>
    <w:p>
      <w:pPr>
        <w:numPr>
          <w:ilvl w:val="1"/>
          <w:numId w:val="6"/>
        </w:numPr>
        <w:spacing w:lineRule="auto"/>
      </w:pPr>
      <w:r>
        <w:rPr/>
        <w:t xml:space="preserve">Duurzaamheid (20%): PvA (duurzaamheidsmaatregelen in beheer en datacenterkeuzes)</w:t>
      </w:r>
    </w:p>
    <w:p>
      <w:pPr>
        <w:numPr>
          <w:ilvl w:val="1"/>
          <w:numId w:val="6"/>
        </w:numPr>
        <w:spacing w:lineRule="auto"/>
      </w:pPr>
      <w:r>
        <w:rPr/>
        <w:t xml:space="preserve">Risicobeheersing (20%): Risicodossier (mitigaties, restkans, restimpact)</w:t>
      </w:r>
    </w:p>
    <w:p>
      <w:pPr>
        <w:numPr>
          <w:ilvl w:val="1"/>
          <w:numId w:val="6"/>
        </w:numPr>
        <w:spacing w:lineRule="auto"/>
      </w:pPr>
      <w:r>
        <w:rPr/>
        <w:t xml:space="preserve">Prijs (20%): conform aanbestedingsportaal (niet in deze README)</w:t>
      </w:r>
    </w:p>
    <w:p>
      <w:pPr>
        <w:spacing w:lineRule="auto"/>
      </w:pPr>
      <w:r>
        <w:rPr/>
        <w:t xml:space="preserve">Eisenconformiteit (samenvatting)</w:t>
      </w:r>
    </w:p>
    <w:p>
      <w:pPr>
        <w:numPr>
          <w:ilvl w:val="0"/>
          <w:numId w:val="7"/>
        </w:numPr>
        <w:spacing w:lineRule="auto"/>
      </w:pPr>
      <w:r>
        <w:rPr/>
        <w:t xml:space="preserve">Knock-outs:</w:t>
      </w:r>
    </w:p>
    <w:p>
      <w:pPr>
        <w:numPr>
          <w:ilvl w:val="1"/>
          <w:numId w:val="8"/>
        </w:numPr>
        <w:spacing w:lineRule="auto"/>
      </w:pPr>
      <w:r>
        <w:rPr/>
        <w:t xml:space="preserve">ISO 27001 gecertificeerd → 06 ISO-bewijs</w:t>
      </w:r>
    </w:p>
    <w:p>
      <w:pPr>
        <w:numPr>
          <w:ilvl w:val="1"/>
          <w:numId w:val="8"/>
        </w:numPr>
        <w:spacing w:lineRule="auto"/>
      </w:pPr>
      <w:r>
        <w:rPr/>
        <w:t xml:space="preserve">ISO 9001 gecertificeerd → 06 ISO-bewijs</w:t>
      </w:r>
    </w:p>
    <w:p>
      <w:pPr>
        <w:numPr>
          <w:ilvl w:val="1"/>
          <w:numId w:val="8"/>
        </w:numPr>
        <w:spacing w:lineRule="auto"/>
      </w:pPr>
      <w:r>
        <w:rPr/>
        <w:t xml:space="preserve">24/7 bereikbaarheidsdienst → PvA (werkpakket voor 24/7 dienstverlening + escalatie)</w:t>
      </w:r>
    </w:p>
    <w:p>
      <w:pPr>
        <w:numPr>
          <w:ilvl w:val="0"/>
          <w:numId w:val="7"/>
        </w:numPr>
        <w:spacing w:lineRule="auto"/>
      </w:pPr>
      <w:r>
        <w:rPr/>
        <w:t xml:space="preserve">MUST-eisen:</w:t>
      </w:r>
    </w:p>
    <w:p>
      <w:pPr>
        <w:numPr>
          <w:ilvl w:val="1"/>
          <w:numId w:val="9"/>
        </w:numPr>
        <w:spacing w:lineRule="auto"/>
      </w:pPr>
      <w:r>
        <w:rPr/>
        <w:t xml:space="preserve">Max. responstijd P1: 30 min → SLA-overzicht + KPI-overzicht</w:t>
      </w:r>
    </w:p>
    <w:p>
      <w:pPr>
        <w:numPr>
          <w:ilvl w:val="1"/>
          <w:numId w:val="9"/>
        </w:numPr>
        <w:spacing w:lineRule="auto"/>
      </w:pPr>
      <w:r>
        <w:rPr/>
        <w:t xml:space="preserve">Beschikbaarheid: 99,8% p/m → SLA-overzicht + KPI-overzicht</w:t>
      </w:r>
    </w:p>
    <w:p>
      <w:pPr>
        <w:numPr>
          <w:ilvl w:val="1"/>
          <w:numId w:val="9"/>
        </w:numPr>
        <w:spacing w:lineRule="auto"/>
      </w:pPr>
      <w:r>
        <w:rPr/>
        <w:t xml:space="preserve">Monitoring &amp; patchmanagement → PvA + bewijsrapportages</w:t>
      </w:r>
    </w:p>
    <w:p>
      <w:pPr>
        <w:numPr>
          <w:ilvl w:val="1"/>
          <w:numId w:val="9"/>
        </w:numPr>
        <w:spacing w:lineRule="auto"/>
      </w:pPr>
      <w:r>
        <w:rPr/>
        <w:t xml:space="preserve">ITIL-servicedeskprocessen → PvA + bewijs (procesbeschrijvingen)</w:t>
      </w:r>
    </w:p>
    <w:p>
      <w:pPr>
        <w:numPr>
          <w:ilvl w:val="1"/>
          <w:numId w:val="9"/>
        </w:numPr>
        <w:spacing w:lineRule="auto"/>
      </w:pPr>
      <w:r>
        <w:rPr/>
        <w:t xml:space="preserve">EU-dataverwerking → PvA (datalokatie) + verklaring in 05</w:t>
      </w:r>
    </w:p>
    <w:p>
      <w:pPr>
        <w:numPr>
          <w:ilvl w:val="1"/>
          <w:numId w:val="9"/>
        </w:numPr>
        <w:spacing w:lineRule="auto"/>
      </w:pPr>
      <w:r>
        <w:rPr/>
        <w:t xml:space="preserve">Escalatieprocedure → PvA + SLA-overzicht</w:t>
      </w:r>
    </w:p>
    <w:p>
      <w:pPr>
        <w:numPr>
          <w:ilvl w:val="1"/>
          <w:numId w:val="9"/>
        </w:numPr>
        <w:spacing w:lineRule="auto"/>
      </w:pPr>
      <w:r>
        <w:rPr/>
        <w:t xml:space="preserve">Continuïteitsplan (BCP) → opgenomen in PvA; kernpunten in Risicodossier</w:t>
      </w:r>
    </w:p>
    <w:p>
      <w:pPr>
        <w:numPr>
          <w:ilvl w:val="1"/>
          <w:numId w:val="9"/>
        </w:numPr>
        <w:spacing w:lineRule="auto"/>
      </w:pPr>
      <w:r>
        <w:rPr/>
        <w:t xml:space="preserve">VOG indien vereist → 05 (procesafspraak)</w:t>
      </w:r>
    </w:p>
    <w:p>
      <w:pPr>
        <w:numPr>
          <w:ilvl w:val="1"/>
          <w:numId w:val="9"/>
        </w:numPr>
        <w:spacing w:lineRule="auto"/>
      </w:pPr>
      <w:r>
        <w:rPr/>
        <w:t xml:space="preserve">Proactieve monitoring netwerk &amp; endpoints → PvA + KPI</w:t>
      </w:r>
    </w:p>
    <w:p>
      <w:pPr>
        <w:numPr>
          <w:ilvl w:val="1"/>
          <w:numId w:val="9"/>
        </w:numPr>
        <w:spacing w:lineRule="auto"/>
      </w:pPr>
      <w:r>
        <w:rPr/>
        <w:t xml:space="preserve">Ondersteuning Microsoft 365 → PvA (beheerwerkpakket)</w:t>
      </w:r>
    </w:p>
    <w:p>
      <w:pPr>
        <w:spacing w:lineRule="auto"/>
      </w:pPr>
      <w:r>
        <w:rPr/>
        <w:t xml:space="preserve">PDCA-borging (SMART)</w:t>
      </w:r>
    </w:p>
    <w:p>
      <w:pPr>
        <w:numPr>
          <w:ilvl w:val="0"/>
          <w:numId w:val="10"/>
        </w:numPr>
        <w:spacing w:lineRule="auto"/>
      </w:pPr>
      <w:r>
        <w:rPr/>
        <w:t xml:space="preserve">Plan: 01 PvA met SMART werkpakketten (scope, output, kwaliteit, eigenaar, doorlooptijd, afhankelijkheden).</w:t>
      </w:r>
    </w:p>
    <w:p>
      <w:pPr>
        <w:numPr>
          <w:ilvl w:val="0"/>
          <w:numId w:val="10"/>
        </w:numPr>
        <w:spacing w:lineRule="auto"/>
      </w:pPr>
      <w:r>
        <w:rPr/>
        <w:t xml:space="preserve">Do: uitvoering via beheerprocessen (ITIL), 24/7 bereikbaarheidsdienst, proactieve monitoring en patching.</w:t>
      </w:r>
    </w:p>
    <w:p>
      <w:pPr>
        <w:numPr>
          <w:ilvl w:val="0"/>
          <w:numId w:val="10"/>
        </w:numPr>
        <w:spacing w:lineRule="auto"/>
      </w:pPr>
      <w:r>
        <w:rPr/>
        <w:t xml:space="preserve">Check: 03 KPI-rapportage per maand; SLA-toetsing op:</w:t>
      </w:r>
    </w:p>
    <w:p>
      <w:pPr>
        <w:numPr>
          <w:ilvl w:val="1"/>
          <w:numId w:val="11"/>
        </w:numPr>
        <w:spacing w:lineRule="auto"/>
      </w:pPr>
      <w:r>
        <w:rPr/>
        <w:t xml:space="preserve">Beschikbaarheid kritieke systemen ≥ 99,8%</w:t>
      </w:r>
    </w:p>
    <w:p>
      <w:pPr>
        <w:numPr>
          <w:ilvl w:val="1"/>
          <w:numId w:val="11"/>
        </w:numPr>
        <w:spacing w:lineRule="auto"/>
      </w:pPr>
      <w:r>
        <w:rPr/>
        <w:t xml:space="preserve">Responstijd P1 &lt; 30 min</w:t>
      </w:r>
    </w:p>
    <w:p>
      <w:pPr>
        <w:numPr>
          <w:ilvl w:val="1"/>
          <w:numId w:val="11"/>
        </w:numPr>
        <w:spacing w:lineRule="auto"/>
      </w:pPr>
      <w:r>
        <w:rPr/>
        <w:t xml:space="preserve">Oplostijd P1 &lt; 4 uur</w:t>
      </w:r>
    </w:p>
    <w:p>
      <w:pPr>
        <w:numPr>
          <w:ilvl w:val="0"/>
          <w:numId w:val="10"/>
        </w:numPr>
        <w:spacing w:lineRule="auto"/>
      </w:pPr>
      <w:r>
        <w:rPr/>
        <w:t xml:space="preserve">Act: kwartaal-evaluaties, verbetervoorstellen, geactualiseerd risicoregister en bijsturing werkpakketten. Afwijkingen → corrigerende maatregelen met eigenaar en deadline.</w:t>
      </w:r>
    </w:p>
    <w:p>
      <w:pPr>
        <w:spacing w:lineRule="auto"/>
      </w:pPr>
      <w:r>
        <w:rPr/>
        <w:t xml:space="preserve">Hoe te lezen (praktisch)</w:t>
      </w:r>
    </w:p>
    <w:p>
      <w:pPr>
        <w:numPr>
          <w:ilvl w:val="0"/>
          <w:numId w:val="12"/>
        </w:numPr>
        <w:spacing w:lineRule="auto"/>
      </w:pPr>
      <w:r>
        <w:rPr/>
        <w:t xml:space="preserve">Snelle conformiteitscheck (10–15 min):</w:t>
      </w:r>
    </w:p>
    <w:p>
      <w:pPr>
        <w:numPr>
          <w:ilvl w:val="1"/>
          <w:numId w:val="13"/>
        </w:numPr>
        <w:spacing w:lineRule="auto"/>
      </w:pPr>
      <w:r>
        <w:rPr/>
        <w:t xml:space="preserve">06 ISO-bewijs (KO)</w:t>
      </w:r>
    </w:p>
    <w:p>
      <w:pPr>
        <w:numPr>
          <w:ilvl w:val="1"/>
          <w:numId w:val="13"/>
        </w:numPr>
        <w:spacing w:lineRule="auto"/>
      </w:pPr>
      <w:r>
        <w:rPr/>
        <w:t xml:space="preserve">04 SLA-overzicht en 03 KPI-overzicht (targets en meting)</w:t>
      </w:r>
    </w:p>
    <w:p>
      <w:pPr>
        <w:numPr>
          <w:ilvl w:val="1"/>
          <w:numId w:val="13"/>
        </w:numPr>
        <w:spacing w:lineRule="auto"/>
      </w:pPr>
      <w:r>
        <w:rPr/>
        <w:t xml:space="preserve">05 Veronderstellingen &amp; Uitsluitingen (randvoorwaarden)</w:t>
      </w:r>
    </w:p>
    <w:p>
      <w:pPr>
        <w:numPr>
          <w:ilvl w:val="0"/>
          <w:numId w:val="12"/>
        </w:numPr>
        <w:spacing w:lineRule="auto"/>
      </w:pPr>
      <w:r>
        <w:rPr/>
        <w:t xml:space="preserve">Inhoudelijke beoordeling (30–60 min):</w:t>
      </w:r>
    </w:p>
    <w:p>
      <w:pPr>
        <w:numPr>
          <w:ilvl w:val="1"/>
          <w:numId w:val="14"/>
        </w:numPr>
        <w:spacing w:lineRule="auto"/>
      </w:pPr>
      <w:r>
        <w:rPr/>
        <w:t xml:space="preserve">01 PvA (werkwijze, teams, escalatie, 24/7)</w:t>
      </w:r>
    </w:p>
    <w:p>
      <w:pPr>
        <w:numPr>
          <w:ilvl w:val="1"/>
          <w:numId w:val="14"/>
        </w:numPr>
        <w:spacing w:lineRule="auto"/>
      </w:pPr>
      <w:r>
        <w:rPr/>
        <w:t xml:space="preserve">02 Risicodossier (toprisico’s, mitigaties, BCP-koppeling)</w:t>
      </w:r>
    </w:p>
    <w:p>
      <w:pPr>
        <w:numPr>
          <w:ilvl w:val="1"/>
          <w:numId w:val="14"/>
        </w:numPr>
        <w:spacing w:lineRule="auto"/>
      </w:pPr>
      <w:r>
        <w:rPr/>
        <w:t xml:space="preserve">03 KPI-overzicht (definities, meetpunten, rapportagefrequentie)</w:t>
      </w:r>
    </w:p>
    <w:p>
      <w:pPr>
        <w:numPr>
          <w:ilvl w:val="0"/>
          <w:numId w:val="12"/>
        </w:numPr>
        <w:spacing w:lineRule="auto"/>
      </w:pPr>
      <w:r>
        <w:rPr/>
        <w:t xml:space="preserve">Uitvoeringsfase (beheer):</w:t>
      </w:r>
    </w:p>
    <w:p>
      <w:pPr>
        <w:numPr>
          <w:ilvl w:val="1"/>
          <w:numId w:val="15"/>
        </w:numPr>
        <w:spacing w:lineRule="auto"/>
      </w:pPr>
      <w:r>
        <w:rPr/>
        <w:t xml:space="preserve">03 + 04 als operationele SLA/KPI-standaard</w:t>
      </w:r>
    </w:p>
    <w:p>
      <w:pPr>
        <w:numPr>
          <w:ilvl w:val="1"/>
          <w:numId w:val="15"/>
        </w:numPr>
        <w:spacing w:lineRule="auto"/>
      </w:pPr>
      <w:r>
        <w:rPr/>
        <w:t xml:space="preserve">02 voor risicoreviews; 01 voor change-/releasekalender en overlegstructuur</w:t>
      </w:r>
    </w:p>
    <w:p>
      <w:pPr>
        <w:spacing w:lineRule="auto"/>
      </w:pPr>
      <w:r>
        <w:rPr/>
        <w:t xml:space="preserve">Kruisverbinding W-xx ↔ KPI ↔ Risico ↔ Bewijs</w:t>
      </w:r>
    </w:p>
    <w:p>
      <w:pPr>
        <w:numPr>
          <w:ilvl w:val="0"/>
          <w:numId w:val="16"/>
        </w:numPr>
        <w:spacing w:lineRule="auto"/>
      </w:pPr>
      <w:r>
        <w:rPr/>
        <w:t xml:space="preserve">Iedere KPI is toegewezen aan minimaal één werkpakket en heeft bijbehorende risico’s met mitigaties en bewijs van beheersing.</w:t>
      </w:r>
    </w:p>
    <w:p>
      <w:pPr>
        <w:numPr>
          <w:ilvl w:val="0"/>
          <w:numId w:val="16"/>
        </w:numPr>
        <w:spacing w:lineRule="auto"/>
      </w:pPr>
      <w:r>
        <w:rPr/>
        <w:t xml:space="preserve">Rapportages refereren aan ID’s, zodat prestaties, risico’s en acties één-op-één te volgen zijn.</w:t>
      </w:r>
    </w:p>
    <w:p>
      <w:pPr>
        <w:spacing w:lineRule="auto"/>
      </w:pPr>
      <w:r>
        <w:rPr/>
        <w:t xml:space="preserve">Randvoorwaarden en scope</w:t>
      </w:r>
    </w:p>
    <w:p>
      <w:pPr>
        <w:numPr>
          <w:ilvl w:val="0"/>
          <w:numId w:val="17"/>
        </w:numPr>
        <w:spacing w:lineRule="auto"/>
      </w:pPr>
      <w:r>
        <w:rPr/>
        <w:t xml:space="preserve">05 Veronderstellingen &amp; Uitsluitingen is leidend voor toegang, licenties, kantoortijden, meerwerk en third-party verantwoordelijkheden.</w:t>
      </w:r>
    </w:p>
    <w:p>
      <w:pPr>
        <w:numPr>
          <w:ilvl w:val="0"/>
          <w:numId w:val="17"/>
        </w:numPr>
        <w:spacing w:lineRule="auto"/>
      </w:pPr>
      <w:r>
        <w:rPr/>
        <w:t xml:space="preserve">Alle data wordt binnen de EU verwerkt (conform MUST).</w:t>
      </w:r>
    </w:p>
    <w:p>
      <w:pPr>
        <w:spacing w:lineRule="auto"/>
      </w:pPr>
      <w:r>
        <w:rPr/>
        <w:t xml:space="preserve">Contact</w:t>
      </w:r>
    </w:p>
    <w:p>
      <w:pPr>
        <w:numPr>
          <w:ilvl w:val="0"/>
          <w:numId w:val="18"/>
        </w:numPr>
        <w:spacing w:lineRule="auto"/>
      </w:pPr>
      <w:r>
        <w:rPr/>
        <w:t xml:space="preserve">Uno Automatiseringdiensten B.V., Einsteinlaan 14, 2719 ER Zoetermeer</w:t>
      </w:r>
    </w:p>
    <w:p>
      <w:pPr>
        <w:numPr>
          <w:ilvl w:val="0"/>
          <w:numId w:val="18"/>
        </w:numPr>
        <w:spacing w:lineRule="auto"/>
      </w:pPr>
      <w:r>
        <w:rPr/>
        <w:t xml:space="preserve">Contact: Eric van de Vreugdenhil, +31 703300502</w:t>
      </w:r>
    </w:p>
    <w:p>
      <w:pPr>
        <w:spacing w:lineRule="auto"/>
      </w:pPr>
      <w:r>
        <w:rPr/>
        <w:t xml:space="preserve">Benodigde input:</w:t>
      </w:r>
    </w:p>
    <w:p>
      <w:pPr>
        <w:numPr>
          <w:ilvl w:val="0"/>
          <w:numId w:val="19"/>
        </w:numPr>
        <w:spacing w:lineRule="auto"/>
      </w:pPr>
      <w:r>
        <w:rPr/>
        <w:t xml:space="preserve">Definitie P1/P2-criteria opdrachtgever.</w:t>
      </w:r>
    </w:p>
    <w:p>
      <w:pPr>
        <w:numPr>
          <w:ilvl w:val="0"/>
          <w:numId w:val="19"/>
        </w:numPr>
        <w:spacing w:lineRule="auto"/>
      </w:pPr>
      <w:r>
        <w:rPr/>
        <w:t xml:space="preserve">Escalatiecontacten opdrachtgever (24/7) en autorisatieketen.</w:t>
      </w:r>
    </w:p>
    <w:p>
      <w:pPr>
        <w:numPr>
          <w:ilvl w:val="0"/>
          <w:numId w:val="19"/>
        </w:numPr>
        <w:spacing w:lineRule="auto"/>
      </w:pPr>
      <w:r>
        <w:rPr/>
        <w:t xml:space="preserve">Lijst kritieke systemen/locaties en meetdomein voor beschikbaarheid.</w:t>
      </w:r>
    </w:p>
    <w:p>
      <w:pPr>
        <w:numPr>
          <w:ilvl w:val="0"/>
          <w:numId w:val="19"/>
        </w:numPr>
        <w:spacing w:lineRule="auto"/>
      </w:pPr>
      <w:r>
        <w:rPr/>
        <w:t xml:space="preserve">Onderhoudsvensters en change freeze-periodes.</w:t>
      </w:r>
    </w:p>
    <w:p>
      <w:pPr>
        <w:numPr>
          <w:ilvl w:val="0"/>
          <w:numId w:val="19"/>
        </w:numPr>
        <w:spacing w:lineRule="auto"/>
      </w:pPr>
      <w:r>
        <w:rPr/>
        <w:t xml:space="preserve">Startdatum raamovereenkomst en beoogde transitieplanning.</w:t>
      </w:r>
    </w:p>
    <w:p>
      <w:pPr>
        <w:numPr>
          <w:ilvl w:val="0"/>
          <w:numId w:val="19"/>
        </w:numPr>
        <w:spacing w:lineRule="auto"/>
      </w:pPr>
      <w:r>
        <w:rPr/>
        <w:t xml:space="preserve">Bevestiging rapportagefrequentie en -format KPI/SLA.</w:t>
      </w:r>
    </w:p>
    <w:p>
      <w:pPr>
        <w:numPr>
          <w:ilvl w:val="0"/>
          <w:numId w:val="19"/>
        </w:numPr>
        <w:spacing w:lineRule="auto"/>
      </w:pPr>
      <w:r>
        <w:rPr/>
        <w:t xml:space="preserve">Correct e-mailadres voor correspondentie en meldroute (portaal/servicedesk).</w:t>
      </w:r>
    </w:p>
    <w:p>
      <w:pPr>
        <w:spacing w:lineRule="auto"/>
      </w:pPr>
      <w:r>
        <w:rPr/>
        <w:t xml:space="preserve">Benodigde input: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header1.xml><?xml version="1.0" encoding="utf-8"?>
<hdr xmlns="http://schemas.openxmlformats.org/wordprocessingml/2006/main">
  <p>
    <pPr>
      <spacing xmlns:ns1="http://schemas.openxmlformats.org/wordprocessingml/2006/main" ns1:lineRule="auto"/>
    </pPr>
    <r>
      <rPr/>
    </r>
  </p>
</hd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header" Target="header1.xml" TargetMode="Internal"/>
  <Relationship Id="rId7" Type="http://schemas.openxmlformats.org/officeDocument/2006/relationships/footer" Target="footer1.xml" TargetMode="Internal"/>
  <Relationship Id="rId8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"/>
        <a:ea typeface="Calibri"/>
        <a:cs typeface=""/>
      </a:majorFont>
      <a:minorFont>
        <a:latin typeface="Calibri"/>
        <a:ea typeface="Calibr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README — Lees Mij</dc:title>
  <dc:subject/>
  <dc:creator>html-to-docx</dc:creator>
  <cp:keywords>html-to-docx</cp:keywords>
  <dc:description/>
  <cp:lastModifiedBy>html-to-docx</cp:lastModifiedBy>
  <cp:revision>1</cp:revision>
  <dcterms:created xsi:type="dcterms:W3CDTF">2025-11-26T07:18:14.781Z</dcterms:created>
  <dcterms:modified xsi:type="dcterms:W3CDTF">2025-11-26T07:18:14.781Z</dcterms:modified>
</cp:coreProperties>
</file>