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Risicoregister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26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Risicoregister – Raamovereenkomst Catering- en Horecadiensten voor Gemeente Middenstad (Project 1380) Opdrachtnemer: Uno Automatiseringsdiensten B.V. (ISO 9001 en ISO 27001) Doel en methodiek:</w:t>
      </w:r>
    </w:p>
    <w:p>
      <w:pPr>
        <w:numPr>
          <w:ilvl w:val="0"/>
          <w:numId w:val="1"/>
        </w:numPr>
        <w:spacing w:lineRule="auto"/>
      </w:pPr>
      <w:r>
        <w:rPr/>
        <w:t xml:space="preserve">Doel: actieve beheersing van kwaliteits-, continuïteits- en securityrisico’s conform ISO 27001/9001 en ITIL, gericht op het halen van alle SLA/KPI’s.</w:t>
      </w:r>
    </w:p>
    <w:p>
      <w:pPr>
        <w:numPr>
          <w:ilvl w:val="0"/>
          <w:numId w:val="1"/>
        </w:numPr>
        <w:spacing w:lineRule="auto"/>
      </w:pPr>
      <w:r>
        <w:rPr/>
        <w:t xml:space="preserve">Scoring: Kans en Impact op schaal 1 (laag) – 5 (zeer hoog). Score = Kans x Impact. Drempel: Score ≥ 12 = hoog; 8–11 = midden; ≤ 7 = laag.</w:t>
      </w:r>
    </w:p>
    <w:p>
      <w:pPr>
        <w:numPr>
          <w:ilvl w:val="0"/>
          <w:numId w:val="1"/>
        </w:numPr>
        <w:spacing w:lineRule="auto"/>
      </w:pPr>
      <w:r>
        <w:rPr/>
        <w:t xml:space="preserve">PDCA-borging per risico met SMART-maatregelen en aantoonbaar bewijs.</w:t>
      </w:r>
    </w:p>
    <w:p>
      <w:pPr>
        <w:spacing w:lineRule="auto"/>
      </w:pPr>
      <w:r>
        <w:rPr/>
        <w:t xml:space="preserve">KPI-codes (selectie, incl. SLA’s):</w:t>
      </w:r>
    </w:p>
    <w:p>
      <w:pPr>
        <w:numPr>
          <w:ilvl w:val="0"/>
          <w:numId w:val="2"/>
        </w:numPr>
        <w:spacing w:lineRule="auto"/>
      </w:pPr>
      <w:r>
        <w:rPr/>
        <w:t xml:space="preserve">KPI-A1 Beschikbaarheid kritieke systemen ≥ 99,8% per maand (SLA)</w:t>
      </w:r>
    </w:p>
    <w:p>
      <w:pPr>
        <w:numPr>
          <w:ilvl w:val="0"/>
          <w:numId w:val="2"/>
        </w:numPr>
        <w:spacing w:lineRule="auto"/>
      </w:pPr>
      <w:r>
        <w:rPr/>
        <w:t xml:space="preserve">KPI-I1 Responstijd P1 &lt; 30 min (SLA)</w:t>
      </w:r>
    </w:p>
    <w:p>
      <w:pPr>
        <w:numPr>
          <w:ilvl w:val="0"/>
          <w:numId w:val="2"/>
        </w:numPr>
        <w:spacing w:lineRule="auto"/>
      </w:pPr>
      <w:r>
        <w:rPr/>
        <w:t xml:space="preserve">KPI-I2 Oplostijd P1 &lt; 4 uur (SLA)</w:t>
      </w:r>
    </w:p>
    <w:p>
      <w:pPr>
        <w:numPr>
          <w:ilvl w:val="0"/>
          <w:numId w:val="2"/>
        </w:numPr>
        <w:spacing w:lineRule="auto"/>
      </w:pPr>
      <w:r>
        <w:rPr/>
        <w:t xml:space="preserve">KPI-P1 Patch compliance: ≥ 95% kritieke patches ≤ 14 dagen; 100% ≤ 30 dagen</w:t>
      </w:r>
    </w:p>
    <w:p>
      <w:pPr>
        <w:numPr>
          <w:ilvl w:val="0"/>
          <w:numId w:val="2"/>
        </w:numPr>
        <w:spacing w:lineRule="auto"/>
      </w:pPr>
      <w:r>
        <w:rPr/>
        <w:t xml:space="preserve">KPI-M1 Monitoringdekking: 100% servers/endpoints gemonitord</w:t>
      </w:r>
    </w:p>
    <w:p>
      <w:pPr>
        <w:numPr>
          <w:ilvl w:val="0"/>
          <w:numId w:val="2"/>
        </w:numPr>
        <w:spacing w:lineRule="auto"/>
      </w:pPr>
      <w:r>
        <w:rPr/>
        <w:t xml:space="preserve">KPI-S1 EDR/AV-dekking: 100% endpoints met actuele agent; 0 kritieke alerts &gt; 24 uur open</w:t>
      </w:r>
    </w:p>
    <w:p>
      <w:pPr>
        <w:numPr>
          <w:ilvl w:val="0"/>
          <w:numId w:val="2"/>
        </w:numPr>
        <w:spacing w:lineRule="auto"/>
      </w:pPr>
      <w:r>
        <w:rPr/>
        <w:t xml:space="preserve">KPI-B1 Back-up succesratio ≥ 99%; kwartaal hersteltest geslaagd</w:t>
      </w:r>
    </w:p>
    <w:p>
      <w:pPr>
        <w:numPr>
          <w:ilvl w:val="0"/>
          <w:numId w:val="2"/>
        </w:numPr>
        <w:spacing w:lineRule="auto"/>
      </w:pPr>
      <w:r>
        <w:rPr/>
        <w:t xml:space="preserve">KPI-C1 Change-succesratio ≥ 98%; 100% changes met back-out plan</w:t>
      </w:r>
    </w:p>
    <w:p>
      <w:pPr>
        <w:numPr>
          <w:ilvl w:val="0"/>
          <w:numId w:val="2"/>
        </w:numPr>
        <w:spacing w:lineRule="auto"/>
      </w:pPr>
      <w:r>
        <w:rPr/>
        <w:t xml:space="preserve">KPI-D1 Data residency: 100% verwerking binnen EU; 0 ongeautoriseerde transfers</w:t>
      </w:r>
    </w:p>
    <w:p>
      <w:pPr>
        <w:numPr>
          <w:ilvl w:val="0"/>
          <w:numId w:val="2"/>
        </w:numPr>
        <w:spacing w:lineRule="auto"/>
      </w:pPr>
      <w:r>
        <w:rPr/>
        <w:t xml:space="preserve">KPI-H1 24/7 bezetting: min. 2 medewerkers per dienst; rooster 8 weken vooruit</w:t>
      </w:r>
    </w:p>
    <w:p>
      <w:pPr>
        <w:numPr>
          <w:ilvl w:val="0"/>
          <w:numId w:val="2"/>
        </w:numPr>
        <w:spacing w:lineRule="auto"/>
      </w:pPr>
      <w:r>
        <w:rPr/>
        <w:t xml:space="preserve">KPI-R1 SLA-rapportage: binnen 5 werkdagen na maandsluiting gepubliceerd</w:t>
      </w:r>
    </w:p>
    <w:p>
      <w:pPr>
        <w:spacing w:lineRule="auto"/>
      </w:pPr>
      <w:r>
        <w:rPr/>
        <w:t xml:space="preserve">Werkpakketten (W-xx): W-01 Monitoring &amp; Alerting, W-02 Patch &amp; Vulnerability, W-03 Incidentmanagement, W-04 Escalatie &amp; Major Incident, W-05 Continuïteit/BCP-DR, W-06 EU Data &amp; Privacy, W-07 Microsoft 365 Beheer, W-08 Endpoint Security (EDR/AV), W-09 Back-up &amp; Restore, W-10 Change &amp; Release, W-11 Capaciteit &amp; Performance, W-12 Vendor &amp; Contract, W-13 Rapportage &amp; SLA, W-14 HR/VOG &amp; 24/7 Roostering.</w:t>
      </w:r>
    </w:p>
    <w:p>
      <w:pPr>
        <w:spacing w:lineRule="auto"/>
      </w:pPr>
      <w:r>
        <w:rPr/>
        <w:t xml:space="preserve">Bewijsbronnen (E-xx): E-01 ISO 27001/9001 certificaten; E-02 NOC/monitoring exports; E-03 Ticketing- en SLA-rapporten; E-04 SIEM/EDR-logs; E-05 BCP/DR-testverslagen; E-06 DPA/verwerkersregister; E-07 M365 Secure Score; E-08 Back-uprapporten; E-09 Change/CAB notulen; E-10 24/7 rooster- en bereikbaarheidslog.</w:t>
      </w:r>
    </w:p>
    <w:p>
      <w:pPr>
        <w:spacing w:lineRule="auto"/>
      </w:pPr>
      <w:r>
        <w:rPr/>
        <w:t xml:space="preserve">Risicotabel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Beheersmaatregel (PDCA, SMART)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Eigenaar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KPI/W-xx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Residual Risk</w:t>
            </w:r>
          </w:p>
        </w:tc>
      </w:t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SLA-breuk: beschikbaarheid &lt; 99,8%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(20%)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Definieer kritieke services en failover binnen 10 werkdagen na start (CMDB en runbooks). D: Configureer actieve monitoring op alle kritieke componenten met automatische failover waar mogelijk voor 100% van scope binnen 30 dagen. C: Weekelijks availability-review; maandelijkse SLA-rapportage. A: Bij &lt;99,8% twee maanden op rij, binnen 5 werkdagen CAPA en binnen 30 dagen implementatie. Bewijs: E-02, E-03, E-05.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KPI-A1; W-01, W-05, W-11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Te late P1-responstijd (&gt;30 min)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(30%)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24/7 escalatieschema en MIM-proces binnen 5 werkdagen gepubliceerd. D: NOC-auto-paging, parallelle alarmering (SMS/Teams/Phone) live binnen 10 dagen; target: 100% P1 alerting in 2 min. C: Maandelijkse audit van 10 P1-cases op responstijd. A: Bij overschrijding &gt;2x/maand, hertraining en roosteraanpassing binnen 7 dagen. Bewijs: E-03, E-10.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Major Incident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KPI-I1; W-03, W-04, W-14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P1 niet opgelost binnen 4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(20%)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War-room procedure en technische swatlist binnen 10 dagen. D: Voor kritieke systemen 24/7 escalatie naar L3 en leveranciers binnen 15 min; back-out/rollback in runbooks. C: MTTR-trendrapport per maand. A: Bij MTTR &gt; doel 2 maanden, root cause workshop binnen 5 werkdagen; implementatie binnen 20 werkdagen. Bewijs: E-03, E-09.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KPI-I2; W-03, W-04, W-10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Patch backlog en kwetsbaarheden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(30%)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Maandelijkse patchkalender en risicogestuurde prioritering (CVSS ≥7 binnen 14 dagen) vastgesteld. D: Uitrol naar ≥95% binnen 14 dagen en 100% binnen 30 dagen; uitzonderingen via CAB. C: Weekelijkse compliance-rapportage; maandelijkse vuln-scan. A: Bij &lt;95%, binnen 5 werkdagen inhaalplan; blokkeren changes zonder patchstatus. Bewijs: E-02, E-04.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 Patchmanagement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KPI-P1; W-02, W-10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Security-incident (malware/ransomware)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(20%)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100% EDR-dekking en hardening-baselines binnen 30 dagen; phishing-simulaties kwartaal. D: 24/7 detect &amp; respond; containment &lt; 30 min, forensics gestart &lt; 2 uur. C: Maandelijks SOC-kpi’s en incidentpostmortems. A: Bij SEV1-incident, binnen 72 uur verbeterplan en binnen 30 dagen maatregelen doorgevoerd. Bewijs: E-04, E-03.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KPI-S1, KPI-I2; W-08, W-03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Data buiten EU verwerkt (non-compliance)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(10%)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Verwerkersregister en datastromenmapping binnen 15 werkdagen afgerond; DPA’s gevalideerd. D: Geofencing en datalocatiepolicies in M365/Azure en back-up. C: Kwartaalreview verwerkers; steekproeven logs. A: Onregelmatigheid → binnen 24 uur containment en DPIA-update binnen 10 dagen. Bewijs: E-06, E-07.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Privacy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KPI-D1; W-06, W-07, W-09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Monitoringdekking/false negatives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(30%)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Monitoring-SOP en device-onboarding checklijst binnen 5 dagen. D: 100% assets in CMDB met monitoring binnen 30 dagen; alert-tuning om ruis ≤ 15% te houden. C: Wekelijkse missende-sensoren scan; maandelijkse alert-kwaliteitsreview. A: Gaps &gt;0% → herstel binnen 48 uur; structureel → tool/regel update binnen 10 dagen. Bewijs: E-02.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NOC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KPI-M1; W-01, W-11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Onsuccesvolle change met verstoring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(20%)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CAB-kalender en risicoclassificatie; 100% changes met test- en back-out plan. D: Pilots en onderhoudsvensters; change freeze tijdens piekuren. C: Maandelijkse change-succesratio en back-out analyse. A: Succesratio &lt;98% → binnen 5 dagen extra QA-gates en kennisupdate; herbeoordeling na 30 dagen. Bewijs: E-09, E-03.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KPI-C1; W-10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 Onvoldoende 24/7 bezetting (ziekte/uitval)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(30%)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Rooster 8 weken vooruit met min. 2 FTE per dienst; pool met 20% overcapaciteit. D: Cross-train op P1-runbooks; standby-contracten. C: Weekelijkse roostercontrole; maandelijks uitvalrapport. A: Bij gaten → binnen 24 uur herdubbeling; binnen 14 dagen aanvulling pool. Bewijs: E-10.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 &amp; Operations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KPI-H1; W-14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 Derdepartijenstoring (ISP/Microsoft)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(30%)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Leveranciers-SLA’s vastgelegd; multi-provider waar zinvol. D: Actieve synthetische tests en failover; escalatiepaden en creditsbewaking. C: Maandelijkse vendor review; kwartaal service review met opdrachtgever. A: Meervoudige SLA-schending → binnen 10 dagen mitigatieplan of contractswitch-case. Bewijs: E-12-analoge logs via E-03/E-09.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KPI-A1, KPI-I2; W-12, W-01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 BCP/DR faalt of niet getest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(20%)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BCP/DR-scenario’s en RTO/RPO per dienst vastgesteld binnen 20 dagen. D: Jaarlijkse volledige DR-test en kwartaal tabletop; kritieke backups 3-2-1. C: Testresultaten en gap-lijst per kwartaal. A: Failures → binnen 10 dagen CAPA; binnen 45 dagen her-test. Bewijs: E-05, E-08.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BCP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KPI-B1, KPI-A1; W-05, W-09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 M365-misconfiguratie (security/continuïteit)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(20%)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Baselines (CIS/Microsoft) en Secure Score ≥ 75 binnen 30 dagen. D: Conditional Access en DLP policies; change via CAB. C: Maandelijkse Secure Score-rapportage; kwartaalconfig-audit. A: Score &lt; 75 → maatregelen binnen 10 dagen; kritieke bevinding → patch binnen 72 uur. Bewijs: E-07, E-09.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M365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KPI-D1, KPI-S1; W-07, W-10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 Escalatieprocedure niet gevolgd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(20%)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MIM-runsheets en RACI gedeeld binnen 5 dagen. D: Kwartaaltraining; escalatie-simulatietest 2x per jaar. C: Post-incident review op escalatiepaden. A: Afwijking → coaching binnen 5 werkdagen; her-simulatie binnen 14 dagen. Bewijs: E-03.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Major Incident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KPI-I1, KPI-I2; W-04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14. Onvolledige of late SLA-rapportage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(20%)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Rapportagesjabloon en databronnen vastgelegd; automatisering dashboards. D: Publicatie binnen 5 werkdagen na maandsluiting. C: Interne QA op 100% rapporten. A: Te laat/onvolledig → binnen 3 werkdagen correctie; structureel → procesupdate binnen 10 dagen. Bewijs: E-03.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KPI-R1; W-13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15. VOG/HR-compliance niet op orde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(20%)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VOG-verplichting in onboarding-checklist; register bijgehouden. D: 100% medewerkers met VOG vóór toegang; jaarlijkse hercontrole. C: Kwartaal-audit personeelstoegang. A: Non-compliance → toegang binnen 24 uur ingetrokken; VOG binnen 10 werkdagen geregeld. Bewijs: E-01, E-10.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 &amp; Compliance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KPI-H1; W-14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16. On-site netwerkproblemen bij opdrachtgever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(30%)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Site assessment en minimale netwerkeisen binnen 15 dagen vastgesteld. D: Proactieve monitoring WAN/LAN; 4G/5G-fallback voor kritieke locaties. C: Maandelijkse capacity-trends; incidentcorrelatie met netwerk. A: Structurele issues → advies en verbeterplan binnen 10 werkdagen; hercontrole na 30 dagen. Bewijs: E-02, E-03.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Capaciteitsmanager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KPI-A1, KPI-I2; W-11, W-12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Toelichting kruisverbanden W-xx ↔ KPI ↔ Risico ↔ Bewijs:</w:t>
      </w:r>
    </w:p>
    <w:p>
      <w:pPr>
        <w:numPr>
          <w:ilvl w:val="0"/>
          <w:numId w:val="3"/>
        </w:numPr>
        <w:spacing w:lineRule="auto"/>
      </w:pPr>
      <w:r>
        <w:rPr/>
        <w:t xml:space="preserve">Voorbeeld: Risico 4 (patch backlog) ↔ W-02 Patchmanagement ↔ KPI-P1 (patch compliance) ↔ Bewijs E-02/E-04 (monitoring/vuln/EDR-logs).</w:t>
      </w:r>
    </w:p>
    <w:p>
      <w:pPr>
        <w:numPr>
          <w:ilvl w:val="0"/>
          <w:numId w:val="3"/>
        </w:numPr>
        <w:spacing w:lineRule="auto"/>
      </w:pPr>
      <w:r>
        <w:rPr/>
        <w:t xml:space="preserve">Voorbeeld: Risico 1 (beschikbaarheid) ↔ W-01 Monitoring &amp; W-05 BCP ↔ KPI-A1 ↔ Bewijs E-02/E-05.</w:t>
      </w:r>
    </w:p>
    <w:p>
      <w:pPr>
        <w:numPr>
          <w:ilvl w:val="0"/>
          <w:numId w:val="3"/>
        </w:numPr>
        <w:spacing w:lineRule="auto"/>
      </w:pPr>
      <w:r>
        <w:rPr/>
        <w:t xml:space="preserve">Voorbeeld: Risico 6 (EU-data) ↔ W-06 &amp; W-07 ↔ KPI-D1 ↔ Bewijs E-06/E-07.</w:t>
      </w:r>
    </w:p>
    <w:p>
      <w:pPr>
        <w:spacing w:lineRule="auto"/>
      </w:pPr>
      <w:r>
        <w:rPr/>
        <w:t xml:space="preserve">PDCA-borging:</w:t>
      </w:r>
    </w:p>
    <w:p>
      <w:pPr>
        <w:numPr>
          <w:ilvl w:val="0"/>
          <w:numId w:val="4"/>
        </w:numPr>
        <w:spacing w:lineRule="auto"/>
      </w:pPr>
      <w:r>
        <w:rPr/>
        <w:t xml:space="preserve">Plan: beleid, baselines, planning en RACI vastgesteld met doorlooptijden (5–30 dagen na start).</w:t>
      </w:r>
    </w:p>
    <w:p>
      <w:pPr>
        <w:numPr>
          <w:ilvl w:val="0"/>
          <w:numId w:val="4"/>
        </w:numPr>
        <w:spacing w:lineRule="auto"/>
      </w:pPr>
      <w:r>
        <w:rPr/>
        <w:t xml:space="preserve">Do: uitvoering met concrete targets (bijv. 100% monitoringdekking, 95% patches ≤ 14 dagen).</w:t>
      </w:r>
    </w:p>
    <w:p>
      <w:pPr>
        <w:numPr>
          <w:ilvl w:val="0"/>
          <w:numId w:val="4"/>
        </w:numPr>
        <w:spacing w:lineRule="auto"/>
      </w:pPr>
      <w:r>
        <w:rPr/>
        <w:t xml:space="preserve">Check: vaste reviewcycli (wekelijks/maandelijks/kwartaal) en KPI-rapportage.</w:t>
      </w:r>
    </w:p>
    <w:p>
      <w:pPr>
        <w:numPr>
          <w:ilvl w:val="0"/>
          <w:numId w:val="4"/>
        </w:numPr>
        <w:spacing w:lineRule="auto"/>
      </w:pPr>
      <w:r>
        <w:rPr/>
        <w:t xml:space="preserve">Act: drempels en termijnen voor CAPA (correctieve/preventieve acties) en her-test.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Risicoregister</dc:title>
  <dc:subject/>
  <dc:creator>html-to-docx</dc:creator>
  <cp:keywords>html-to-docx</cp:keywords>
  <dc:description/>
  <cp:lastModifiedBy>html-to-docx</cp:lastModifiedBy>
  <cp:revision>1</cp:revision>
  <dcterms:created xsi:type="dcterms:W3CDTF">2025-11-26T07:18:14.781Z</dcterms:created>
  <dcterms:modified xsi:type="dcterms:W3CDTF">2025-11-26T07:18:14.781Z</dcterms:modified>
</cp:coreProperties>
</file>