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Assumpties &amp; Uitsluitingen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Aannames &amp; Uitsluitingen — Raamovereenkomst Catering- en Horecadiensten voor Gemeente Middenstad (Project 1380)</w:t>
      </w:r>
    </w:p>
    <w:p>
      <w:pPr>
        <w:spacing w:lineRule="auto"/>
      </w:pPr>
      <w:r>
        <w:rPr/>
        <w:t xml:space="preserve">Context en scope-alignering</w:t>
      </w:r>
    </w:p>
    <w:p>
      <w:pPr>
        <w:numPr>
          <w:ilvl w:val="0"/>
          <w:numId w:val="1"/>
        </w:numPr>
        <w:spacing w:lineRule="auto"/>
      </w:pPr>
      <w:r>
        <w:rPr/>
        <w:t xml:space="preserve">Scopeclarificatie: Ondanks de tendertitel betreft onze aanbieding uitsluitend ICT-beheer, -onderhoud en -beveiliging (cloud/infrastructuur, Microsoft 365, monitoring, servicedesk). Catering- en horecadiensten vallen buiten scope. Juridische uitsluiting: wij leveren geen catering/horeca-werkzaamheden.</w:t>
      </w:r>
    </w:p>
    <w:p>
      <w:pPr>
        <w:numPr>
          <w:ilvl w:val="0"/>
          <w:numId w:val="1"/>
        </w:numPr>
        <w:spacing w:lineRule="auto"/>
      </w:pPr>
      <w:r>
        <w:rPr/>
        <w:t xml:space="preserve">Kwalificaties: Uno Automatiseringdiensten B.V. is ISO 27001 en ISO 9001 gecertificeerd en levert 24/7 bereikbaarheidsdienst (voldoet aan KO-eisen).</w:t>
      </w:r>
    </w:p>
    <w:p>
      <w:pPr>
        <w:numPr>
          <w:ilvl w:val="0"/>
          <w:numId w:val="1"/>
        </w:numPr>
        <w:spacing w:lineRule="auto"/>
      </w:pPr>
      <w:r>
        <w:rPr/>
        <w:t xml:space="preserve">SLA-basis: Beschikbaarheid 99,8%/maand, P1 responstijd ≤ 30 min, P1 oplostijd ≤ 4 uur, conform must- en SLA-waarden.</w:t>
      </w:r>
    </w:p>
    <w:p>
      <w:pPr>
        <w:spacing w:lineRule="auto"/>
      </w:pPr>
      <w:r>
        <w:rPr/>
        <w:t xml:space="preserve">Aannames — algemeen en operationeel</w:t>
      </w:r>
    </w:p>
    <w:p>
      <w:pPr>
        <w:numPr>
          <w:ilvl w:val="0"/>
          <w:numId w:val="2"/>
        </w:numPr>
        <w:spacing w:lineRule="auto"/>
      </w:pPr>
      <w:r>
        <w:rPr/>
        <w:t xml:space="preserve">Toegankelijkheid locaties: Alle locaties zijn tijdens kantooruren toegankelijk voor onsite-werkzaamheden; 24/7 toegang voor P1-storingen op kritieke locaties via afspraken/beveiligde toegangssystemen.</w:t>
      </w:r>
    </w:p>
    <w:p>
      <w:pPr>
        <w:numPr>
          <w:ilvl w:val="0"/>
          <w:numId w:val="2"/>
        </w:numPr>
        <w:spacing w:lineRule="auto"/>
      </w:pPr>
      <w:r>
        <w:rPr/>
        <w:t xml:space="preserve">Start en transitie: Start binnen 4 weken na gunning, met gestandaardiseerde onboarding van 10 werkdagen mits gevraagde input beschikbaar (zie Benodigde input). Risico op vertraging valt buiten onze verantwoordelijkheid indien input/mandaat ontbreekt.</w:t>
      </w:r>
    </w:p>
    <w:p>
      <w:pPr>
        <w:numPr>
          <w:ilvl w:val="0"/>
          <w:numId w:val="2"/>
        </w:numPr>
        <w:spacing w:lineRule="auto"/>
      </w:pPr>
      <w:r>
        <w:rPr/>
        <w:t xml:space="preserve">Ondersteuningsvensters: Changes buiten kantooruren op verzoek; P1 direct 24/7, P2/P3 binnen kantooruren tenzij anders overeengekomen.</w:t>
      </w:r>
    </w:p>
    <w:p>
      <w:pPr>
        <w:numPr>
          <w:ilvl w:val="0"/>
          <w:numId w:val="2"/>
        </w:numPr>
        <w:spacing w:lineRule="auto"/>
      </w:pPr>
      <w:r>
        <w:rPr/>
        <w:t xml:space="preserve">Servicedesk: ITIL-gebaseerd, single point of contact; intake via portal, telefoon en e-mail met ticketregistratie en prioritering op impact/urgentie.</w:t>
      </w:r>
    </w:p>
    <w:p>
      <w:pPr>
        <w:numPr>
          <w:ilvl w:val="0"/>
          <w:numId w:val="2"/>
        </w:numPr>
        <w:spacing w:lineRule="auto"/>
      </w:pPr>
      <w:r>
        <w:rPr/>
        <w:t xml:space="preserve">Monitoring &amp; patching: Proactieve monitoring netwerk/endpoints/servers en maandelijks patchmanagement met vooraf overeengekomen onderhoudsvensters.</w:t>
      </w:r>
    </w:p>
    <w:p>
      <w:pPr>
        <w:spacing w:lineRule="auto"/>
      </w:pPr>
      <w:r>
        <w:rPr/>
        <w:t xml:space="preserve">Aannames — security, privacy en gegevensverwerking</w:t>
      </w:r>
    </w:p>
    <w:p>
      <w:pPr>
        <w:numPr>
          <w:ilvl w:val="0"/>
          <w:numId w:val="3"/>
        </w:numPr>
        <w:spacing w:lineRule="auto"/>
      </w:pPr>
      <w:r>
        <w:rPr/>
        <w:t xml:space="preserve">Dataresidentie: Alle data wordt in de EU verwerkt; Microsoft 365 binnen de EU Data Boundary. Gebruik van niet-EU verwerkers is uitgesloten, tenzij vooraf schriftelijk goedgekeurd.</w:t>
      </w:r>
    </w:p>
    <w:p>
      <w:pPr>
        <w:numPr>
          <w:ilvl w:val="0"/>
          <w:numId w:val="3"/>
        </w:numPr>
        <w:spacing w:lineRule="auto"/>
      </w:pPr>
      <w:r>
        <w:rPr/>
        <w:t xml:space="preserve">Toegangsbeheer: Opdrachtgever levert tijdig accounts/rollen; least privilege en MFA verplicht voor beheerders.</w:t>
      </w:r>
    </w:p>
    <w:p>
      <w:pPr>
        <w:numPr>
          <w:ilvl w:val="0"/>
          <w:numId w:val="3"/>
        </w:numPr>
        <w:spacing w:lineRule="auto"/>
      </w:pPr>
      <w:r>
        <w:rPr/>
        <w:t xml:space="preserve">Compliance: VOG voor personeel indien vereist; verwerkersovereenkomst (AVG) wordt wederzijds ondertekend vóór aanvang beheer.</w:t>
      </w:r>
    </w:p>
    <w:p>
      <w:pPr>
        <w:spacing w:lineRule="auto"/>
      </w:pPr>
      <w:r>
        <w:rPr/>
        <w:t xml:space="preserve">Aannames — technische randvoorwaarden</w:t>
      </w:r>
    </w:p>
    <w:p>
      <w:pPr>
        <w:numPr>
          <w:ilvl w:val="0"/>
          <w:numId w:val="4"/>
        </w:numPr>
        <w:spacing w:lineRule="auto"/>
      </w:pPr>
      <w:r>
        <w:rPr/>
        <w:t xml:space="preserve">Infrastructuur: Internet- en netwerkverbindingen voldoen aan minimale eisen (beschikbaarheid, bandbreedte, latency &lt; 50 ms tussen sites en core-apps, beheerbare netwerkcomponenten).</w:t>
      </w:r>
    </w:p>
    <w:p>
      <w:pPr>
        <w:numPr>
          <w:ilvl w:val="0"/>
          <w:numId w:val="4"/>
        </w:numPr>
        <w:spacing w:lineRule="auto"/>
      </w:pPr>
      <w:r>
        <w:rPr/>
        <w:t xml:space="preserve">Softwarelicenties: Microsoft 365 en overige licenties zijn rechtmatig verkregen en overdraagbaar voor beheer. Licentiebeheer blijft verantwoordelijkheid opdrachtgever, tenzij anders overeengekomen.</w:t>
      </w:r>
    </w:p>
    <w:p>
      <w:pPr>
        <w:numPr>
          <w:ilvl w:val="0"/>
          <w:numId w:val="4"/>
        </w:numPr>
        <w:spacing w:lineRule="auto"/>
      </w:pPr>
      <w:r>
        <w:rPr/>
        <w:t xml:space="preserve">Documentatie: Beschikbare HLD/LLD, netwerktekeningen, assetlijst en huidige policies worden gedeeld en zijn actueel.</w:t>
      </w:r>
    </w:p>
    <w:p>
      <w:pPr>
        <w:spacing w:lineRule="auto"/>
      </w:pPr>
      <w:r>
        <w:rPr/>
        <w:t xml:space="preserve">Juridische uitsluitingen en randvoorwaarden</w:t>
      </w:r>
    </w:p>
    <w:p>
      <w:pPr>
        <w:numPr>
          <w:ilvl w:val="0"/>
          <w:numId w:val="5"/>
        </w:numPr>
        <w:spacing w:lineRule="auto"/>
      </w:pPr>
      <w:r>
        <w:rPr/>
        <w:t xml:space="preserve">Scope-uitsluitingen:</w:t>
      </w:r>
    </w:p>
    <w:p>
      <w:pPr>
        <w:numPr>
          <w:ilvl w:val="1"/>
          <w:numId w:val="6"/>
        </w:numPr>
        <w:spacing w:lineRule="auto"/>
      </w:pPr>
      <w:r>
        <w:rPr/>
        <w:t xml:space="preserve">Levering/beheer van onsite hardware valt buiten scope, tenzij schriftelijk overeengekomen.</w:t>
      </w:r>
    </w:p>
    <w:p>
      <w:pPr>
        <w:numPr>
          <w:ilvl w:val="1"/>
          <w:numId w:val="6"/>
        </w:numPr>
        <w:spacing w:lineRule="auto"/>
      </w:pPr>
      <w:r>
        <w:rPr/>
        <w:t xml:space="preserve">Third-party SaaS/applicatiesupport valt buiten directe verantwoordelijkheid; wij coördineren best effort.</w:t>
      </w:r>
    </w:p>
    <w:p>
      <w:pPr>
        <w:numPr>
          <w:ilvl w:val="1"/>
          <w:numId w:val="6"/>
        </w:numPr>
        <w:spacing w:lineRule="auto"/>
      </w:pPr>
      <w:r>
        <w:rPr/>
        <w:t xml:space="preserve">Projecten buiten regulier beheer (migraties, grote upgrades, herontwerp) vallen niet onder het vaste maandtarief.</w:t>
      </w:r>
    </w:p>
    <w:p>
      <w:pPr>
        <w:numPr>
          <w:ilvl w:val="1"/>
          <w:numId w:val="6"/>
        </w:numPr>
        <w:spacing w:lineRule="auto"/>
      </w:pPr>
      <w:r>
        <w:rPr/>
        <w:t xml:space="preserve">Adoptie-/trainingstrajecten voor eindgebruikers uitsluitend op verzoek.</w:t>
      </w:r>
    </w:p>
    <w:p>
      <w:pPr>
        <w:numPr>
          <w:ilvl w:val="1"/>
          <w:numId w:val="6"/>
        </w:numPr>
        <w:spacing w:lineRule="auto"/>
      </w:pPr>
      <w:r>
        <w:rPr/>
        <w:t xml:space="preserve">Catering- en horecadiensten: volledig uitgesloten.</w:t>
      </w:r>
    </w:p>
    <w:p>
      <w:pPr>
        <w:numPr>
          <w:ilvl w:val="0"/>
          <w:numId w:val="5"/>
        </w:numPr>
        <w:spacing w:lineRule="auto"/>
      </w:pPr>
      <w:r>
        <w:rPr/>
        <w:t xml:space="preserve">Aansprakelijkheid: Beperkt tot directe schade, met een plafond van de jaarwaarde van de opdracht; gevolgschade, gederfde winst en indirecte schade zijn uitgesloten.</w:t>
      </w:r>
    </w:p>
    <w:p>
      <w:pPr>
        <w:numPr>
          <w:ilvl w:val="0"/>
          <w:numId w:val="5"/>
        </w:numPr>
        <w:spacing w:lineRule="auto"/>
      </w:pPr>
      <w:r>
        <w:rPr/>
        <w:t xml:space="preserve">Intellectuele eigendom: Standaard scripts/templates blijven eigendom Uno; klantspecifieke configuraties en documentatie zijn voor opdrachtgever.</w:t>
      </w:r>
    </w:p>
    <w:p>
      <w:pPr>
        <w:numPr>
          <w:ilvl w:val="0"/>
          <w:numId w:val="5"/>
        </w:numPr>
        <w:spacing w:lineRule="auto"/>
      </w:pPr>
      <w:r>
        <w:rPr/>
        <w:t xml:space="preserve">Vrijwaring: Opdrachtgever vrijwaart voor claims voortvloeiend uit onrechtmatige software/licenties en onjuiste aangeleverde data.</w:t>
      </w:r>
    </w:p>
    <w:p>
      <w:pPr>
        <w:numPr>
          <w:ilvl w:val="0"/>
          <w:numId w:val="5"/>
        </w:numPr>
        <w:spacing w:lineRule="auto"/>
      </w:pPr>
      <w:r>
        <w:rPr/>
        <w:t xml:space="preserve">Overmacht: Storingen buiten onze invloedssfeer (stroomstoringen, ISP, datacenter force majeure) vallen buiten SLA-berekening.</w:t>
      </w:r>
    </w:p>
    <w:p>
      <w:pPr>
        <w:spacing w:lineRule="auto"/>
      </w:pPr>
      <w:r>
        <w:rPr/>
        <w:t xml:space="preserve">Financiële consequenties (SMART)</w:t>
      </w:r>
    </w:p>
    <w:p>
      <w:pPr>
        <w:numPr>
          <w:ilvl w:val="0"/>
          <w:numId w:val="7"/>
        </w:numPr>
        <w:spacing w:lineRule="auto"/>
      </w:pPr>
      <w:r>
        <w:rPr/>
        <w:t xml:space="preserve">Meerwerk:</w:t>
      </w:r>
    </w:p>
    <w:p>
      <w:pPr>
        <w:numPr>
          <w:ilvl w:val="1"/>
          <w:numId w:val="8"/>
        </w:numPr>
        <w:spacing w:lineRule="auto"/>
      </w:pPr>
      <w:r>
        <w:rPr/>
        <w:t xml:space="preserve">Buiten-scope werkzaamheden uitsluitend na schriftelijke akkoordverklaring (werkbon/offerte). Tarieven conform raamovereenkomst; nacalculatie per kwartier.</w:t>
      </w:r>
    </w:p>
    <w:p>
      <w:pPr>
        <w:numPr>
          <w:ilvl w:val="1"/>
          <w:numId w:val="8"/>
        </w:numPr>
        <w:spacing w:lineRule="auto"/>
      </w:pPr>
      <w:r>
        <w:rPr/>
        <w:t xml:space="preserve">Spoedchanges buiten venster: +25% toeslag; P1-storingen uitgesloten van toeslag.</w:t>
      </w:r>
    </w:p>
    <w:p>
      <w:pPr>
        <w:numPr>
          <w:ilvl w:val="0"/>
          <w:numId w:val="7"/>
        </w:numPr>
        <w:spacing w:lineRule="auto"/>
      </w:pPr>
      <w:r>
        <w:rPr/>
        <w:t xml:space="preserve">Onvoorziene vertraging door opdrachtgever:</w:t>
      </w:r>
    </w:p>
    <w:p>
      <w:pPr>
        <w:numPr>
          <w:ilvl w:val="1"/>
          <w:numId w:val="9"/>
        </w:numPr>
        <w:spacing w:lineRule="auto"/>
      </w:pPr>
      <w:r>
        <w:rPr/>
        <w:t xml:space="preserve">Niet-tijdig aanleveren toegang/informatie: wachttijd en extra inzet worden doorbelast.</w:t>
      </w:r>
    </w:p>
    <w:p>
      <w:pPr>
        <w:numPr>
          <w:ilvl w:val="0"/>
          <w:numId w:val="7"/>
        </w:numPr>
        <w:spacing w:lineRule="auto"/>
      </w:pPr>
      <w:r>
        <w:rPr/>
        <w:t xml:space="preserve">Onsite interventies:</w:t>
      </w:r>
    </w:p>
    <w:p>
      <w:pPr>
        <w:numPr>
          <w:ilvl w:val="1"/>
          <w:numId w:val="10"/>
        </w:numPr>
        <w:spacing w:lineRule="auto"/>
      </w:pPr>
      <w:r>
        <w:rPr/>
        <w:t xml:space="preserve">Buiten reguliere zones of buiten kantoortijden: reistijd en -kosten conform raamovereenkomst.</w:t>
      </w:r>
    </w:p>
    <w:p>
      <w:pPr>
        <w:numPr>
          <w:ilvl w:val="0"/>
          <w:numId w:val="7"/>
        </w:numPr>
        <w:spacing w:lineRule="auto"/>
      </w:pPr>
      <w:r>
        <w:rPr/>
        <w:t xml:space="preserve">24/7 bereikbaarheid: Inbegrepen voor P1; P2/P3 buiten kantooruren op verzoek en doorbelasting conform tarieven.</w:t>
      </w:r>
    </w:p>
    <w:p>
      <w:pPr>
        <w:numPr>
          <w:ilvl w:val="0"/>
          <w:numId w:val="7"/>
        </w:numPr>
        <w:spacing w:lineRule="auto"/>
      </w:pPr>
      <w:r>
        <w:rPr/>
        <w:t xml:space="preserve">Prijsvastheid: Tarieven zijn vast gedurende de looptijd van de raamovereenkomst (pricing_locked = true). Indexatie is niet van toepassing tenzij wet-/regelgeving of toeleveranciersprijzen aantoonbaar dwingend wijzigen; dan in overleg en na schriftelijke akkoord.</w:t>
      </w:r>
    </w:p>
    <w:p>
      <w:pPr>
        <w:numPr>
          <w:ilvl w:val="0"/>
          <w:numId w:val="7"/>
        </w:numPr>
        <w:spacing w:lineRule="auto"/>
      </w:pPr>
      <w:r>
        <w:rPr/>
        <w:t xml:space="preserve">Garantie: 12 maanden garantie op projectmatige opleveringen (bugfixes/config-fouten door Uno); uitgezonderd wijzigingen door derden of gewijzigde randvoorwaarden.</w:t>
      </w:r>
    </w:p>
    <w:p>
      <w:pPr>
        <w:spacing w:lineRule="auto"/>
      </w:pPr>
      <w:r>
        <w:rPr/>
        <w:t xml:space="preserve">SLA- en KPI-aannames</w:t>
      </w:r>
    </w:p>
    <w:p>
      <w:pPr>
        <w:numPr>
          <w:ilvl w:val="0"/>
          <w:numId w:val="11"/>
        </w:numPr>
        <w:spacing w:lineRule="auto"/>
      </w:pPr>
      <w:r>
        <w:rPr/>
        <w:t xml:space="preserve">KPI-berekening:</w:t>
      </w:r>
    </w:p>
    <w:p>
      <w:pPr>
        <w:numPr>
          <w:ilvl w:val="1"/>
          <w:numId w:val="12"/>
        </w:numPr>
        <w:spacing w:lineRule="auto"/>
      </w:pPr>
      <w:r>
        <w:rPr/>
        <w:t xml:space="preserve">Beschikbaarheid (99,8%/maand) exclusief aangekondigd onderhoud, overmacht, klantveroorzaakte uitval, en uitval door derde partijen buiten regie.</w:t>
      </w:r>
    </w:p>
    <w:p>
      <w:pPr>
        <w:numPr>
          <w:ilvl w:val="1"/>
          <w:numId w:val="12"/>
        </w:numPr>
        <w:spacing w:lineRule="auto"/>
      </w:pPr>
      <w:r>
        <w:rPr/>
        <w:t xml:space="preserve">P1 responstijd ≤ 30 min: gemeten vanaf ticketregistratie/telefoonopname; P1 oplostijd ≤ 4 uur: voor éénvoudige single-fault incidenten binnen Uno-regie.</w:t>
      </w:r>
    </w:p>
    <w:p>
      <w:pPr>
        <w:numPr>
          <w:ilvl w:val="0"/>
          <w:numId w:val="11"/>
        </w:numPr>
        <w:spacing w:lineRule="auto"/>
      </w:pPr>
      <w:r>
        <w:rPr/>
        <w:t xml:space="preserve">Rapportage: Maandelijks SLA-rapport met beschikbaarheid, response, oplossingstijden, root causes en verbeteracties.</w:t>
      </w:r>
    </w:p>
    <w:p>
      <w:pPr>
        <w:spacing w:lineRule="auto"/>
      </w:pPr>
      <w:r>
        <w:rPr/>
        <w:t xml:space="preserve">Risico’s en mitigerende maatregelen (SMART)</w:t>
      </w:r>
    </w:p>
    <w:p>
      <w:pPr>
        <w:numPr>
          <w:ilvl w:val="0"/>
          <w:numId w:val="13"/>
        </w:numPr>
        <w:spacing w:lineRule="auto"/>
      </w:pPr>
      <w:r>
        <w:rPr/>
        <w:t xml:space="preserve">Onvolledige asset- en netwerkdocumentatie:</w:t>
      </w:r>
    </w:p>
    <w:p>
      <w:pPr>
        <w:numPr>
          <w:ilvl w:val="1"/>
          <w:numId w:val="14"/>
        </w:numPr>
        <w:spacing w:lineRule="auto"/>
      </w:pPr>
      <w:r>
        <w:rPr/>
        <w:t xml:space="preserve">Risico: Vertraagde onboarding; oplosactie: binnen 10 werkdagen volledige inventarisatie en validatie; KPI: onboarding gereed ≤ 10 werkdagen; Bewijs: assetlijst en LLD.</w:t>
      </w:r>
    </w:p>
    <w:p>
      <w:pPr>
        <w:numPr>
          <w:ilvl w:val="0"/>
          <w:numId w:val="13"/>
        </w:numPr>
        <w:spacing w:lineRule="auto"/>
      </w:pPr>
      <w:r>
        <w:rPr/>
        <w:t xml:space="preserve">Niet-EU datastromen via third-party apps:</w:t>
      </w:r>
    </w:p>
    <w:p>
      <w:pPr>
        <w:numPr>
          <w:ilvl w:val="1"/>
          <w:numId w:val="15"/>
        </w:numPr>
        <w:spacing w:lineRule="auto"/>
      </w:pPr>
      <w:r>
        <w:rPr/>
        <w:t xml:space="preserve">Risico: AVG-non-compliance; oplosactie: blokkade of EU-alternatief binnen 5 werkdagen; KPI: 100% EU-verwerking; Bewijs: DPA/processorlijst en M365 compliance-instellingen.</w:t>
      </w:r>
    </w:p>
    <w:p>
      <w:pPr>
        <w:numPr>
          <w:ilvl w:val="0"/>
          <w:numId w:val="13"/>
        </w:numPr>
        <w:spacing w:lineRule="auto"/>
      </w:pPr>
      <w:r>
        <w:rPr/>
        <w:t xml:space="preserve">Onvoldoende change discipline:</w:t>
      </w:r>
    </w:p>
    <w:p>
      <w:pPr>
        <w:numPr>
          <w:ilvl w:val="1"/>
          <w:numId w:val="16"/>
        </w:numPr>
        <w:spacing w:lineRule="auto"/>
      </w:pPr>
      <w:r>
        <w:rPr/>
        <w:t xml:space="preserve">Risico: Uitval door ongecontroleerde changes; oplosactie: CAB en change-kalender binnen 2 weken; KPI: 0 kritieke incidenten door ongeautoriseerde changes per maand; Bewijs: change-log en CAB-notulen.</w:t>
      </w:r>
    </w:p>
    <w:p>
      <w:pPr>
        <w:numPr>
          <w:ilvl w:val="0"/>
          <w:numId w:val="13"/>
        </w:numPr>
        <w:spacing w:lineRule="auto"/>
      </w:pPr>
      <w:r>
        <w:rPr/>
        <w:t xml:space="preserve">Capaciteitsissues netwerk/ISP:</w:t>
      </w:r>
    </w:p>
    <w:p>
      <w:pPr>
        <w:numPr>
          <w:ilvl w:val="1"/>
          <w:numId w:val="17"/>
        </w:numPr>
        <w:spacing w:lineRule="auto"/>
      </w:pPr>
      <w:r>
        <w:rPr/>
        <w:t xml:space="preserve">Risico: Niet halen 99,8%; oplosactie: monitoring en drempelalerts binnen 48 uur, capacity plan binnen 4 weken; KPI: &lt;1 capacity-gerelateerd P1/kwartaal; Bewijs: monitoringrapporten.</w:t>
      </w:r>
    </w:p>
    <w:p>
      <w:pPr>
        <w:spacing w:lineRule="auto"/>
      </w:pPr>
      <w:r>
        <w:rPr/>
        <w:t xml:space="preserve">Kruisverbanden W-xx ↔ KPI ↔ Risico ↔ Bewijs</w:t>
      </w:r>
    </w:p>
    <w:p>
      <w:pPr>
        <w:numPr>
          <w:ilvl w:val="0"/>
          <w:numId w:val="18"/>
        </w:numPr>
        <w:spacing w:lineRule="auto"/>
      </w:pPr>
      <w:r>
        <w:rPr/>
        <w:t xml:space="preserve">W-01 Servicedesk &amp; Incident Management</w:t>
      </w:r>
    </w:p>
    <w:p>
      <w:pPr>
        <w:numPr>
          <w:ilvl w:val="1"/>
          <w:numId w:val="19"/>
        </w:numPr>
        <w:spacing w:lineRule="auto"/>
      </w:pPr>
      <w:r>
        <w:rPr/>
        <w:t xml:space="preserve">KPI: P1 response ≤ 30 min; P1 oplossing ≤ 4 uur</w:t>
      </w:r>
    </w:p>
    <w:p>
      <w:pPr>
        <w:numPr>
          <w:ilvl w:val="1"/>
          <w:numId w:val="19"/>
        </w:numPr>
        <w:spacing w:lineRule="auto"/>
      </w:pPr>
      <w:r>
        <w:rPr/>
        <w:t xml:space="preserve">Risico: Escalatievertraging</w:t>
      </w:r>
    </w:p>
    <w:p>
      <w:pPr>
        <w:numPr>
          <w:ilvl w:val="1"/>
          <w:numId w:val="19"/>
        </w:numPr>
        <w:spacing w:lineRule="auto"/>
      </w:pPr>
      <w:r>
        <w:rPr/>
        <w:t xml:space="preserve">Bewijs: 24/7 rooster, ITIL-procesbeschrijvingen, ticket-logs</w:t>
      </w:r>
    </w:p>
    <w:p>
      <w:pPr>
        <w:numPr>
          <w:ilvl w:val="0"/>
          <w:numId w:val="18"/>
        </w:numPr>
        <w:spacing w:lineRule="auto"/>
      </w:pPr>
      <w:r>
        <w:rPr/>
        <w:t xml:space="preserve">W-02 Monitoring &amp; Patchmanagement</w:t>
      </w:r>
    </w:p>
    <w:p>
      <w:pPr>
        <w:numPr>
          <w:ilvl w:val="1"/>
          <w:numId w:val="20"/>
        </w:numPr>
        <w:spacing w:lineRule="auto"/>
      </w:pPr>
      <w:r>
        <w:rPr/>
        <w:t xml:space="preserve">KPI: 99,8% beschikbaarheid</w:t>
      </w:r>
    </w:p>
    <w:p>
      <w:pPr>
        <w:numPr>
          <w:ilvl w:val="1"/>
          <w:numId w:val="20"/>
        </w:numPr>
        <w:spacing w:lineRule="auto"/>
      </w:pPr>
      <w:r>
        <w:rPr/>
        <w:t xml:space="preserve">Risico: Ongepatchte kwetsbaarheden</w:t>
      </w:r>
    </w:p>
    <w:p>
      <w:pPr>
        <w:numPr>
          <w:ilvl w:val="1"/>
          <w:numId w:val="20"/>
        </w:numPr>
        <w:spacing w:lineRule="auto"/>
      </w:pPr>
      <w:r>
        <w:rPr/>
        <w:t xml:space="preserve">Bewijs: Patch-rapporten, monitoring-dashboards</w:t>
      </w:r>
    </w:p>
    <w:p>
      <w:pPr>
        <w:numPr>
          <w:ilvl w:val="0"/>
          <w:numId w:val="18"/>
        </w:numPr>
        <w:spacing w:lineRule="auto"/>
      </w:pPr>
      <w:r>
        <w:rPr/>
        <w:t xml:space="preserve">W-03 Security &amp; Compliance</w:t>
      </w:r>
    </w:p>
    <w:p>
      <w:pPr>
        <w:numPr>
          <w:ilvl w:val="1"/>
          <w:numId w:val="21"/>
        </w:numPr>
        <w:spacing w:lineRule="auto"/>
      </w:pPr>
      <w:r>
        <w:rPr/>
        <w:t xml:space="preserve">KPI: 100% MFA op adminaccounts; 0 critical CVEs &gt; 14 dagen</w:t>
      </w:r>
    </w:p>
    <w:p>
      <w:pPr>
        <w:numPr>
          <w:ilvl w:val="1"/>
          <w:numId w:val="21"/>
        </w:numPr>
        <w:spacing w:lineRule="auto"/>
      </w:pPr>
      <w:r>
        <w:rPr/>
        <w:t xml:space="preserve">Risico: Compromise/AVG-incident</w:t>
      </w:r>
    </w:p>
    <w:p>
      <w:pPr>
        <w:numPr>
          <w:ilvl w:val="1"/>
          <w:numId w:val="21"/>
        </w:numPr>
        <w:spacing w:lineRule="auto"/>
      </w:pPr>
      <w:r>
        <w:rPr/>
        <w:t xml:space="preserve">Bewijs: ISO 27001 certificaat, hardening-checklists, DPA</w:t>
      </w:r>
    </w:p>
    <w:p>
      <w:pPr>
        <w:numPr>
          <w:ilvl w:val="0"/>
          <w:numId w:val="18"/>
        </w:numPr>
        <w:spacing w:lineRule="auto"/>
      </w:pPr>
      <w:r>
        <w:rPr/>
        <w:t xml:space="preserve">W-04 Continuïteit (BCP/DR)</w:t>
      </w:r>
    </w:p>
    <w:p>
      <w:pPr>
        <w:numPr>
          <w:ilvl w:val="1"/>
          <w:numId w:val="22"/>
        </w:numPr>
        <w:spacing w:lineRule="auto"/>
      </w:pPr>
      <w:r>
        <w:rPr/>
        <w:t xml:space="preserve">KPI: Oefening 1x per jaar; RTO/RPO conform beleid</w:t>
      </w:r>
    </w:p>
    <w:p>
      <w:pPr>
        <w:numPr>
          <w:ilvl w:val="1"/>
          <w:numId w:val="22"/>
        </w:numPr>
        <w:spacing w:lineRule="auto"/>
      </w:pPr>
      <w:r>
        <w:rPr/>
        <w:t xml:space="preserve">Risico: Onvoldoende herstelvermogen</w:t>
      </w:r>
    </w:p>
    <w:p>
      <w:pPr>
        <w:numPr>
          <w:ilvl w:val="1"/>
          <w:numId w:val="22"/>
        </w:numPr>
        <w:spacing w:lineRule="auto"/>
      </w:pPr>
      <w:r>
        <w:rPr/>
        <w:t xml:space="preserve">Bewijs: BCP, testrapporten</w:t>
      </w:r>
    </w:p>
    <w:p>
      <w:pPr>
        <w:numPr>
          <w:ilvl w:val="0"/>
          <w:numId w:val="18"/>
        </w:numPr>
        <w:spacing w:lineRule="auto"/>
      </w:pPr>
      <w:r>
        <w:rPr/>
        <w:t xml:space="preserve">W-05 EU Data &amp; Privacy</w:t>
      </w:r>
    </w:p>
    <w:p>
      <w:pPr>
        <w:numPr>
          <w:ilvl w:val="1"/>
          <w:numId w:val="23"/>
        </w:numPr>
        <w:spacing w:lineRule="auto"/>
      </w:pPr>
      <w:r>
        <w:rPr/>
        <w:t xml:space="preserve">KPI: 100% EU-dataresidentie</w:t>
      </w:r>
    </w:p>
    <w:p>
      <w:pPr>
        <w:numPr>
          <w:ilvl w:val="1"/>
          <w:numId w:val="23"/>
        </w:numPr>
        <w:spacing w:lineRule="auto"/>
      </w:pPr>
      <w:r>
        <w:rPr/>
        <w:t xml:space="preserve">Risico: Data-export buiten EU</w:t>
      </w:r>
    </w:p>
    <w:p>
      <w:pPr>
        <w:numPr>
          <w:ilvl w:val="1"/>
          <w:numId w:val="23"/>
        </w:numPr>
        <w:spacing w:lineRule="auto"/>
      </w:pPr>
      <w:r>
        <w:rPr/>
        <w:t xml:space="preserve">Bewijs: Verwerkersregister, M365 EU Boundary-instellingen</w:t>
      </w:r>
    </w:p>
    <w:p>
      <w:pPr>
        <w:numPr>
          <w:ilvl w:val="0"/>
          <w:numId w:val="18"/>
        </w:numPr>
        <w:spacing w:lineRule="auto"/>
      </w:pPr>
      <w:r>
        <w:rPr/>
        <w:t xml:space="preserve">W-06 Microsoft 365 Support</w:t>
      </w:r>
    </w:p>
    <w:p>
      <w:pPr>
        <w:numPr>
          <w:ilvl w:val="1"/>
          <w:numId w:val="24"/>
        </w:numPr>
        <w:spacing w:lineRule="auto"/>
      </w:pPr>
      <w:r>
        <w:rPr/>
        <w:t xml:space="preserve">KPI: Change first-time-right ≥ 95%</w:t>
      </w:r>
    </w:p>
    <w:p>
      <w:pPr>
        <w:numPr>
          <w:ilvl w:val="1"/>
          <w:numId w:val="24"/>
        </w:numPr>
        <w:spacing w:lineRule="auto"/>
      </w:pPr>
      <w:r>
        <w:rPr/>
        <w:t xml:space="preserve">Risico: Configuratiefouten</w:t>
      </w:r>
    </w:p>
    <w:p>
      <w:pPr>
        <w:numPr>
          <w:ilvl w:val="1"/>
          <w:numId w:val="24"/>
        </w:numPr>
        <w:spacing w:lineRule="auto"/>
      </w:pPr>
      <w:r>
        <w:rPr/>
        <w:t xml:space="preserve">Bewijs: Change-templates, CAB-notulen</w:t>
      </w:r>
    </w:p>
    <w:p>
      <w:pPr>
        <w:numPr>
          <w:ilvl w:val="0"/>
          <w:numId w:val="18"/>
        </w:numPr>
        <w:spacing w:lineRule="auto"/>
      </w:pPr>
      <w:r>
        <w:rPr/>
        <w:t xml:space="preserve">W-07 Major Incident &amp; Escalatie</w:t>
      </w:r>
    </w:p>
    <w:p>
      <w:pPr>
        <w:numPr>
          <w:ilvl w:val="1"/>
          <w:numId w:val="25"/>
        </w:numPr>
        <w:spacing w:lineRule="auto"/>
      </w:pPr>
      <w:r>
        <w:rPr/>
        <w:t xml:space="preserve">KPI: Major Incident review ≤ 3 werkdagen</w:t>
      </w:r>
    </w:p>
    <w:p>
      <w:pPr>
        <w:numPr>
          <w:ilvl w:val="1"/>
          <w:numId w:val="25"/>
        </w:numPr>
        <w:spacing w:lineRule="auto"/>
      </w:pPr>
      <w:r>
        <w:rPr/>
        <w:t xml:space="preserve">Risico: Herhaling incidenten</w:t>
      </w:r>
    </w:p>
    <w:p>
      <w:pPr>
        <w:numPr>
          <w:ilvl w:val="1"/>
          <w:numId w:val="25"/>
        </w:numPr>
        <w:spacing w:lineRule="auto"/>
      </w:pPr>
      <w:r>
        <w:rPr/>
        <w:t xml:space="preserve">Bewijs: PIR-rapporten, actielijsten</w:t>
      </w:r>
    </w:p>
    <w:p>
      <w:pPr>
        <w:numPr>
          <w:ilvl w:val="0"/>
          <w:numId w:val="18"/>
        </w:numPr>
        <w:spacing w:lineRule="auto"/>
      </w:pPr>
      <w:r>
        <w:rPr/>
        <w:t xml:space="preserve">W-08 Rapportage &amp; SLA Management</w:t>
      </w:r>
    </w:p>
    <w:p>
      <w:pPr>
        <w:numPr>
          <w:ilvl w:val="1"/>
          <w:numId w:val="26"/>
        </w:numPr>
        <w:spacing w:lineRule="auto"/>
      </w:pPr>
      <w:r>
        <w:rPr/>
        <w:t xml:space="preserve">KPI: Maandelijkse SLA-rapportage op T+5</w:t>
      </w:r>
    </w:p>
    <w:p>
      <w:pPr>
        <w:numPr>
          <w:ilvl w:val="1"/>
          <w:numId w:val="26"/>
        </w:numPr>
        <w:spacing w:lineRule="auto"/>
      </w:pPr>
      <w:r>
        <w:rPr/>
        <w:t xml:space="preserve">Risico: Sturing op achterhaalde data</w:t>
      </w:r>
    </w:p>
    <w:p>
      <w:pPr>
        <w:numPr>
          <w:ilvl w:val="1"/>
          <w:numId w:val="26"/>
        </w:numPr>
        <w:spacing w:lineRule="auto"/>
      </w:pPr>
      <w:r>
        <w:rPr/>
        <w:t xml:space="preserve">Bewijs: SLA-rapport, trendanalyses</w:t>
      </w:r>
    </w:p>
    <w:p>
      <w:pPr>
        <w:spacing w:lineRule="auto"/>
      </w:pPr>
      <w:r>
        <w:rPr/>
        <w:t xml:space="preserve">PDCA-borging</w:t>
      </w:r>
    </w:p>
    <w:p>
      <w:pPr>
        <w:numPr>
          <w:ilvl w:val="0"/>
          <w:numId w:val="27"/>
        </w:numPr>
        <w:spacing w:lineRule="auto"/>
      </w:pPr>
      <w:r>
        <w:rPr/>
        <w:t xml:space="preserve">Plan: Jaarplan met doel-KPI’s en risico-register; change-kalender; beveiligingsjaarplan (T0+2 weken na gunning).</w:t>
      </w:r>
    </w:p>
    <w:p>
      <w:pPr>
        <w:numPr>
          <w:ilvl w:val="0"/>
          <w:numId w:val="27"/>
        </w:numPr>
        <w:spacing w:lineRule="auto"/>
      </w:pPr>
      <w:r>
        <w:rPr/>
        <w:t xml:space="preserve">Do: Uitvoering beheerprocessen conform ITIL; patches maandelijks; 24/7 incidentafhandeling.</w:t>
      </w:r>
    </w:p>
    <w:p>
      <w:pPr>
        <w:numPr>
          <w:ilvl w:val="0"/>
          <w:numId w:val="27"/>
        </w:numPr>
        <w:spacing w:lineRule="auto"/>
      </w:pPr>
      <w:r>
        <w:rPr/>
        <w:t xml:space="preserve">Check: Maandelijkse SLA-review (T+5), kwartaal-QBR met trendanalyse en auditfindings; interne audits ISO 9001/27001.</w:t>
      </w:r>
    </w:p>
    <w:p>
      <w:pPr>
        <w:numPr>
          <w:ilvl w:val="0"/>
          <w:numId w:val="27"/>
        </w:numPr>
        <w:spacing w:lineRule="auto"/>
      </w:pPr>
      <w:r>
        <w:rPr/>
        <w:t xml:space="preserve">Act: Verbeterplan met SMART-actiepunten binnen 5 werkdagen na review; herziening processen en SOP’s; lessons learned borgen.</w:t>
      </w:r>
    </w:p>
    <w:p>
      <w:pPr>
        <w:spacing w:lineRule="auto"/>
      </w:pPr>
      <w:r>
        <w:rPr/>
        <w:t xml:space="preserve">Specifieke uitsluitingen en afhankelijkheden (herbevestiging)</w:t>
      </w:r>
    </w:p>
    <w:p>
      <w:pPr>
        <w:numPr>
          <w:ilvl w:val="0"/>
          <w:numId w:val="28"/>
        </w:numPr>
        <w:spacing w:lineRule="auto"/>
      </w:pPr>
      <w:r>
        <w:rPr/>
        <w:t xml:space="preserve">Afhankelijkheden opdrachtgever: Tijdige toegang, mandaat voor changes, actuele documentatie en licenties, beschikbaarheid sleutelpersonen voor CAB/QBR.</w:t>
      </w:r>
    </w:p>
    <w:p>
      <w:pPr>
        <w:numPr>
          <w:ilvl w:val="0"/>
          <w:numId w:val="28"/>
        </w:numPr>
        <w:spacing w:lineRule="auto"/>
      </w:pPr>
      <w:r>
        <w:rPr/>
        <w:t xml:space="preserve">Externe partijen: Wij sturen aan op best effort; prestatie van derden (ISP, SaaS) valt buiten onze SLA.</w:t>
      </w:r>
    </w:p>
    <w:p>
      <w:pPr>
        <w:spacing w:lineRule="auto"/>
      </w:pPr>
      <w:r>
        <w:rPr/>
        <w:t xml:space="preserve">Overdracht/exit</w:t>
      </w:r>
    </w:p>
    <w:p>
      <w:pPr>
        <w:numPr>
          <w:ilvl w:val="0"/>
          <w:numId w:val="29"/>
        </w:numPr>
        <w:spacing w:lineRule="auto"/>
      </w:pPr>
      <w:r>
        <w:rPr/>
        <w:t xml:space="preserve">Exit-assumptie: Gecontroleerde kennis- en documentatieoverdracht binnen 10 werkdagen na beëindiging, op basis van fair use; niet-inbegrepen ontwikkeluren worden separaat geoffreerd.</w:t>
      </w:r>
    </w:p>
    <w:p>
      <w:pPr>
        <w:spacing w:lineRule="auto"/>
      </w:pPr>
      <w:r>
        <w:rPr/>
        <w:t xml:space="preserve">Bewijsstukken (op verzoek beschikbaar)</w:t>
      </w:r>
    </w:p>
    <w:p>
      <w:pPr>
        <w:numPr>
          <w:ilvl w:val="0"/>
          <w:numId w:val="30"/>
        </w:numPr>
        <w:spacing w:lineRule="auto"/>
      </w:pPr>
      <w:r>
        <w:rPr/>
        <w:t xml:space="preserve">ISO 27001 en ISO 9001 certificaten</w:t>
      </w:r>
    </w:p>
    <w:p>
      <w:pPr>
        <w:numPr>
          <w:ilvl w:val="0"/>
          <w:numId w:val="30"/>
        </w:numPr>
        <w:spacing w:lineRule="auto"/>
      </w:pPr>
      <w:r>
        <w:rPr/>
        <w:t xml:space="preserve">BCP, incident- en escalatieprocedures</w:t>
      </w:r>
    </w:p>
    <w:p>
      <w:pPr>
        <w:numPr>
          <w:ilvl w:val="0"/>
          <w:numId w:val="30"/>
        </w:numPr>
        <w:spacing w:lineRule="auto"/>
      </w:pPr>
      <w:r>
        <w:rPr/>
        <w:t xml:space="preserve">24/7 bereikbaarheidsdienstrooster</w:t>
      </w:r>
    </w:p>
    <w:p>
      <w:pPr>
        <w:numPr>
          <w:ilvl w:val="0"/>
          <w:numId w:val="30"/>
        </w:numPr>
        <w:spacing w:lineRule="auto"/>
      </w:pPr>
      <w:r>
        <w:rPr/>
        <w:t xml:space="preserve">Voorbeeld SLA-rapportage en monitoring-screenshots</w:t>
      </w:r>
    </w:p>
    <w:p>
      <w:pPr>
        <w:numPr>
          <w:ilvl w:val="0"/>
          <w:numId w:val="30"/>
        </w:numPr>
        <w:spacing w:lineRule="auto"/>
      </w:pPr>
      <w:r>
        <w:rPr/>
        <w:t xml:space="preserve">Verwerkersovereenkomst en verwerkersregister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31"/>
        </w:numPr>
        <w:spacing w:lineRule="auto"/>
      </w:pPr>
      <w:r>
        <w:rPr/>
        <w:t xml:space="preserve">Overzicht locaties, openingstijden en toegangsinstructies</w:t>
      </w:r>
    </w:p>
    <w:p>
      <w:pPr>
        <w:numPr>
          <w:ilvl w:val="0"/>
          <w:numId w:val="31"/>
        </w:numPr>
        <w:spacing w:lineRule="auto"/>
      </w:pPr>
      <w:r>
        <w:rPr/>
        <w:t xml:space="preserve">Actuele netwerk- en systeemdocumentatie (HLD/LLD), VLAN- en firewallregels</w:t>
      </w:r>
    </w:p>
    <w:p>
      <w:pPr>
        <w:numPr>
          <w:ilvl w:val="0"/>
          <w:numId w:val="31"/>
        </w:numPr>
        <w:spacing w:lineRule="auto"/>
      </w:pPr>
      <w:r>
        <w:rPr/>
        <w:t xml:space="preserve">Volledige assetlijst (servers, endpoints, netwerkcomponenten) incl. kritikaliteit</w:t>
      </w:r>
    </w:p>
    <w:p>
      <w:pPr>
        <w:numPr>
          <w:ilvl w:val="0"/>
          <w:numId w:val="31"/>
        </w:numPr>
        <w:spacing w:lineRule="auto"/>
      </w:pPr>
      <w:r>
        <w:rPr/>
        <w:t xml:space="preserve">Microsoft 365 tenantgegevens en huidige security- en compliance-instellingen</w:t>
      </w:r>
    </w:p>
    <w:p>
      <w:pPr>
        <w:numPr>
          <w:ilvl w:val="0"/>
          <w:numId w:val="31"/>
        </w:numPr>
        <w:spacing w:lineRule="auto"/>
      </w:pPr>
      <w:r>
        <w:rPr/>
        <w:t xml:space="preserve">Overzicht bestaande leveranciers (ISP, SaaS) en contract/SLA’s</w:t>
      </w:r>
    </w:p>
    <w:p>
      <w:pPr>
        <w:numPr>
          <w:ilvl w:val="0"/>
          <w:numId w:val="31"/>
        </w:numPr>
        <w:spacing w:lineRule="auto"/>
      </w:pPr>
      <w:r>
        <w:rPr/>
        <w:t xml:space="preserve">Change- en onderhoudsvensters, CAB-samenstelling en mandaten</w:t>
      </w:r>
    </w:p>
    <w:p>
      <w:pPr>
        <w:numPr>
          <w:ilvl w:val="0"/>
          <w:numId w:val="31"/>
        </w:numPr>
        <w:spacing w:lineRule="auto"/>
      </w:pPr>
      <w:r>
        <w:rPr/>
        <w:t xml:space="preserve">DPA/AVG-contactpersoon, gewenste dataclassificatie en retentiebeleid</w:t>
      </w:r>
    </w:p>
    <w:p>
      <w:pPr>
        <w:numPr>
          <w:ilvl w:val="0"/>
          <w:numId w:val="31"/>
        </w:numPr>
        <w:spacing w:lineRule="auto"/>
      </w:pPr>
      <w:r>
        <w:rPr/>
        <w:t xml:space="preserve">Verwachte ticketvolumes per prioriteit en werktijdvensters</w:t>
      </w:r>
    </w:p>
    <w:p>
      <w:pPr>
        <w:numPr>
          <w:ilvl w:val="0"/>
          <w:numId w:val="31"/>
        </w:numPr>
        <w:spacing w:lineRule="auto"/>
      </w:pPr>
      <w:r>
        <w:rPr/>
        <w:t xml:space="preserve">VOG-eisen en onboardingproces voor personeel</w:t>
      </w:r>
    </w:p>
    <w:p>
      <w:pPr>
        <w:numPr>
          <w:ilvl w:val="0"/>
          <w:numId w:val="31"/>
        </w:numPr>
        <w:spacing w:lineRule="auto"/>
      </w:pPr>
      <w:r>
        <w:rPr/>
        <w:t xml:space="preserve">Escalatielijst opdrachtgever (functioneel, technisch, bestuurlijk)</w:t>
      </w:r>
    </w:p>
    <w:p>
      <w:pPr>
        <w:numPr>
          <w:ilvl w:val="0"/>
          <w:numId w:val="31"/>
        </w:numPr>
        <w:spacing w:lineRule="auto"/>
      </w:pPr>
      <w:r>
        <w:rPr/>
        <w:t xml:space="preserve">Bevestiging EU dataresidentie-eisen en eventuele uitzonderingen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Assumpties &amp; Uitsluitingen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