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(EMVI/BPKV) – Project 1380 Raamovereenkomst Catering- en Horecadiensten voor Gemeente Middenstad</w:t>
      </w:r>
    </w:p>
    <w:p>
      <w:pPr>
        <w:numPr>
          <w:ilvl w:val="0"/>
          <w:numId w:val="1"/>
        </w:numPr>
        <w:spacing w:lineRule="auto"/>
      </w:pPr>
      <w:r>
        <w:rPr/>
        <w:t xml:space="preserve">Doel en scope</w:t>
      </w:r>
    </w:p>
    <w:p>
      <w:pPr>
        <w:numPr>
          <w:ilvl w:val="0"/>
          <w:numId w:val="2"/>
        </w:numPr>
        <w:spacing w:lineRule="auto"/>
      </w:pPr>
      <w:r>
        <w:rPr/>
        <w:t xml:space="preserve">Doel: objectief, herhaalbaar en SMART beoordelen van inschrijvingen op kwaliteit, duurzaamheid, risicobeheersing en prijs, conform EMVI/BPKV. De beoordelingsmethode borgt PDCA en sluit aan op KO- en must-eisen.</w:t>
      </w:r>
    </w:p>
    <w:p>
      <w:pPr>
        <w:numPr>
          <w:ilvl w:val="0"/>
          <w:numId w:val="2"/>
        </w:numPr>
        <w:spacing w:lineRule="auto"/>
      </w:pPr>
      <w:r>
        <w:rPr/>
        <w:t xml:space="preserve">Scope: digitale en operationele borging van 24/7 dienstverlening voor catering- en horecalocaties van de opdrachtgever, met focus op beschikbaarheid, security, servicedeskprocessen, EU-data, monitoring, Microsoft 365-ondersteuning en continuïteit. Uno Automatiseringsdiensten B.V. levert de digitale backbone (monitoring, servicedesk, security, compliance) die de primaire dienstverlening op locatie ondersteunt en aantoonbaar verbetert.</w:t>
      </w:r>
    </w:p>
    <w:p>
      <w:pPr>
        <w:numPr>
          <w:ilvl w:val="0"/>
          <w:numId w:val="3"/>
        </w:numPr>
        <w:spacing w:lineRule="auto"/>
      </w:pPr>
      <w:r>
        <w:rPr/>
        <w:t xml:space="preserve">Randvoorwaarden (KO en Must)</w:t>
      </w:r>
    </w:p>
    <w:p>
      <w:pPr>
        <w:numPr>
          <w:ilvl w:val="0"/>
          <w:numId w:val="4"/>
        </w:numPr>
        <w:spacing w:lineRule="auto"/>
      </w:pPr>
      <w:r>
        <w:rPr/>
        <w:t xml:space="preserve">Knock-outs (KO; uitsluiting bij “nee”):</w:t>
      </w:r>
    </w:p>
    <w:p>
      <w:pPr>
        <w:numPr>
          <w:ilvl w:val="1"/>
          <w:numId w:val="5"/>
        </w:numPr>
        <w:spacing w:lineRule="auto"/>
      </w:pPr>
      <w:r>
        <w:rPr/>
        <w:t xml:space="preserve">ISO 27001 gecertificeerd (Uno: ja)</w:t>
      </w:r>
    </w:p>
    <w:p>
      <w:pPr>
        <w:numPr>
          <w:ilvl w:val="1"/>
          <w:numId w:val="5"/>
        </w:numPr>
        <w:spacing w:lineRule="auto"/>
      </w:pPr>
      <w:r>
        <w:rPr/>
        <w:t xml:space="preserve">ISO 9001 gecertificeerd (Uno: ja)</w:t>
      </w:r>
    </w:p>
    <w:p>
      <w:pPr>
        <w:numPr>
          <w:ilvl w:val="1"/>
          <w:numId w:val="5"/>
        </w:numPr>
        <w:spacing w:lineRule="auto"/>
      </w:pPr>
      <w:r>
        <w:rPr/>
        <w:t xml:space="preserve">24/7 bereikbaarheidsdienst (Uno: ja)</w:t>
      </w:r>
    </w:p>
    <w:p>
      <w:pPr>
        <w:numPr>
          <w:ilvl w:val="0"/>
          <w:numId w:val="4"/>
        </w:numPr>
        <w:spacing w:lineRule="auto"/>
      </w:pPr>
      <w:r>
        <w:rPr/>
        <w:t xml:space="preserve">Must-haves (allemaal “ja” vereist):</w:t>
      </w:r>
    </w:p>
    <w:p>
      <w:pPr>
        <w:numPr>
          <w:ilvl w:val="1"/>
          <w:numId w:val="6"/>
        </w:numPr>
        <w:spacing w:lineRule="auto"/>
      </w:pPr>
      <w:r>
        <w:rPr/>
        <w:t xml:space="preserve">Responstijd P1-incidenten ≤ 30 min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Beschikbaarheid 99,8% per maand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Monitoring &amp; patchmanagement geborgd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ITIL-gebaseerde servicedeskprocessen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Alle data binnen EU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Escalatieprocedure voor incidenten &amp; changes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Continuïteitsplan (BCP) beschikbaar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VOG voor personeel indien vereist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Proactieve monitoring netwerk &amp; endpoints (Uno: ja)</w:t>
      </w:r>
    </w:p>
    <w:p>
      <w:pPr>
        <w:numPr>
          <w:ilvl w:val="1"/>
          <w:numId w:val="6"/>
        </w:numPr>
        <w:spacing w:lineRule="auto"/>
      </w:pPr>
      <w:r>
        <w:rPr/>
        <w:t xml:space="preserve">Ondersteuning Microsoft 365 (Uno: ja)</w:t>
      </w:r>
    </w:p>
    <w:p>
      <w:pPr>
        <w:numPr>
          <w:ilvl w:val="0"/>
          <w:numId w:val="7"/>
        </w:numPr>
        <w:spacing w:lineRule="auto"/>
      </w:pPr>
      <w:r>
        <w:rPr/>
        <w:t xml:space="preserve">Beoordelingsschaal (kwaliteit, duurzaamheid, risicobeheersing)</w:t>
      </w:r>
    </w:p>
    <w:p>
      <w:pPr>
        <w:numPr>
          <w:ilvl w:val="0"/>
          <w:numId w:val="8"/>
        </w:numPr>
        <w:spacing w:lineRule="auto"/>
      </w:pPr>
      <w:r>
        <w:rPr/>
        <w:t xml:space="preserve">0: Voldoet niet; geen begrip of tegenstrijdig.</w:t>
      </w:r>
    </w:p>
    <w:p>
      <w:pPr>
        <w:numPr>
          <w:ilvl w:val="0"/>
          <w:numId w:val="8"/>
        </w:numPr>
        <w:spacing w:lineRule="auto"/>
      </w:pPr>
      <w:r>
        <w:rPr/>
        <w:t xml:space="preserve">2: Voldoet deels; niet SMART; grote risico’s.</w:t>
      </w:r>
    </w:p>
    <w:p>
      <w:pPr>
        <w:numPr>
          <w:ilvl w:val="0"/>
          <w:numId w:val="8"/>
        </w:numPr>
        <w:spacing w:lineRule="auto"/>
      </w:pPr>
      <w:r>
        <w:rPr/>
        <w:t xml:space="preserve">5: Voldoet; SMART op kernpunten; beperkt onderscheidend.</w:t>
      </w:r>
    </w:p>
    <w:p>
      <w:pPr>
        <w:numPr>
          <w:ilvl w:val="0"/>
          <w:numId w:val="8"/>
        </w:numPr>
        <w:spacing w:lineRule="auto"/>
      </w:pPr>
      <w:r>
        <w:rPr/>
        <w:t xml:space="preserve">8: Overtreft; volledig SMART; aantoonbaar effectief; beperkte rest­risico’s.</w:t>
      </w:r>
    </w:p>
    <w:p>
      <w:pPr>
        <w:numPr>
          <w:ilvl w:val="0"/>
          <w:numId w:val="8"/>
        </w:numPr>
        <w:spacing w:lineRule="auto"/>
      </w:pPr>
      <w:r>
        <w:rPr/>
        <w:t xml:space="preserve">10: Excellent; best practice met bewezen resultaten; nul rest­risico’s of concreet plan dat deze binnen 1 kwartaal elimineert; volledig evidence-based.</w:t>
      </w:r>
    </w:p>
    <w:p>
      <w:pPr>
        <w:numPr>
          <w:ilvl w:val="0"/>
          <w:numId w:val="9"/>
        </w:numPr>
        <w:spacing w:lineRule="auto"/>
      </w:pPr>
      <w:r>
        <w:rPr/>
        <w:t xml:space="preserve">Beoordelingsstructuur (overzicht)</w:t>
      </w:r>
      <w:r>
        <w:rPr/>
      </w:r>
    </w:p>
    <w:p>
      <w:pPr>
        <w:numPr>
          <w:ilvl w:val="0"/>
          <w:numId w:val="9"/>
        </w:numPr>
        <w:spacing w:lineRule="auto"/>
      </w:pPr>
      <w:r>
        <w:rPr/>
        <w:t xml:space="preserve">Subcriteria, wat goed eruitziet, onze invulling (SMART en PDCA) 5.1 Kwaliteit (40%)</w:t>
      </w:r>
    </w:p>
    <w:p>
      <w:pPr>
        <w:numPr>
          <w:ilvl w:val="0"/>
          <w:numId w:val="10"/>
        </w:numPr>
        <w:spacing w:lineRule="auto"/>
      </w:pPr>
      <w:r>
        <w:rPr/>
        <w:t xml:space="preserve">Wat goed eruitziet:</w:t>
      </w:r>
    </w:p>
    <w:p>
      <w:pPr>
        <w:numPr>
          <w:ilvl w:val="1"/>
          <w:numId w:val="11"/>
        </w:numPr>
        <w:spacing w:lineRule="auto"/>
      </w:pPr>
      <w:r>
        <w:rPr/>
        <w:t xml:space="preserve">Beschikbaarheid kritieke systemen ≥ 99,8% per kalendermaand (excl. vooraf afgestemde onderhoudsvensters).</w:t>
      </w:r>
    </w:p>
    <w:p>
      <w:pPr>
        <w:numPr>
          <w:ilvl w:val="1"/>
          <w:numId w:val="11"/>
        </w:numPr>
        <w:spacing w:lineRule="auto"/>
      </w:pPr>
      <w:r>
        <w:rPr/>
        <w:t xml:space="preserve">P1-respons ≤ 30 min; P1-oplossing ≤ 4 uur; P2-oplossing ≤ 8 uur; First Contact Resolution ≥ 70%.</w:t>
      </w:r>
    </w:p>
    <w:p>
      <w:pPr>
        <w:numPr>
          <w:ilvl w:val="1"/>
          <w:numId w:val="11"/>
        </w:numPr>
        <w:spacing w:lineRule="auto"/>
      </w:pPr>
      <w:r>
        <w:rPr/>
        <w:t xml:space="preserve">100% asset- en service monitoring (netwerk, endpoints, POS/IoT, cloud).</w:t>
      </w:r>
    </w:p>
    <w:p>
      <w:pPr>
        <w:numPr>
          <w:ilvl w:val="1"/>
          <w:numId w:val="11"/>
        </w:numPr>
        <w:spacing w:lineRule="auto"/>
      </w:pPr>
      <w:r>
        <w:rPr/>
        <w:t xml:space="preserve">Patchmanagement: ≥ 97% kritieke patches binnen 14 dagen; ≥ 95% overige binnen 30 dagen.</w:t>
      </w:r>
    </w:p>
    <w:p>
      <w:pPr>
        <w:numPr>
          <w:ilvl w:val="1"/>
          <w:numId w:val="11"/>
        </w:numPr>
        <w:spacing w:lineRule="auto"/>
      </w:pPr>
      <w:r>
        <w:rPr/>
        <w:t xml:space="preserve">ITIL v4 processen (Incident, Request, Problem, Change) en CAB met wekelijkse cycles.</w:t>
      </w:r>
    </w:p>
    <w:p>
      <w:pPr>
        <w:numPr>
          <w:ilvl w:val="1"/>
          <w:numId w:val="11"/>
        </w:numPr>
        <w:spacing w:lineRule="auto"/>
      </w:pPr>
      <w:r>
        <w:rPr/>
        <w:t xml:space="preserve">EU-dataresidency 100%; aantoonbare ISO 27001/9001-procesbesturing.</w:t>
      </w:r>
    </w:p>
    <w:p>
      <w:pPr>
        <w:numPr>
          <w:ilvl w:val="1"/>
          <w:numId w:val="11"/>
        </w:numPr>
        <w:spacing w:lineRule="auto"/>
      </w:pPr>
      <w:r>
        <w:rPr/>
        <w:t xml:space="preserve">M365-support (Exchange, SharePoint, Teams, Endpoint Manager) inclusief conditional access en DLP.</w:t>
      </w:r>
    </w:p>
    <w:p>
      <w:pPr>
        <w:numPr>
          <w:ilvl w:val="0"/>
          <w:numId w:val="10"/>
        </w:numPr>
        <w:spacing w:lineRule="auto"/>
      </w:pPr>
      <w:r>
        <w:rPr/>
        <w:t xml:space="preserve">Onze invulling (Uno):</w:t>
      </w:r>
    </w:p>
    <w:p>
      <w:pPr>
        <w:numPr>
          <w:ilvl w:val="1"/>
          <w:numId w:val="12"/>
        </w:numPr>
        <w:spacing w:lineRule="auto"/>
      </w:pPr>
      <w:r>
        <w:rPr/>
        <w:t xml:space="preserve">Plan: Onboarding binnen 30 dagen, servicecatalogus en RACI gereed in week 2; monitoring deployment 100% in week 3.</w:t>
      </w:r>
    </w:p>
    <w:p>
      <w:pPr>
        <w:numPr>
          <w:ilvl w:val="1"/>
          <w:numId w:val="12"/>
        </w:numPr>
        <w:spacing w:lineRule="auto"/>
      </w:pPr>
      <w:r>
        <w:rPr/>
        <w:t xml:space="preserve">Do: 24/7 NOC/SOC, geautomatiseerde incidentrouting, runbooks per locatie, change-windows buiten piekuren.</w:t>
      </w:r>
    </w:p>
    <w:p>
      <w:pPr>
        <w:numPr>
          <w:ilvl w:val="1"/>
          <w:numId w:val="12"/>
        </w:numPr>
        <w:spacing w:lineRule="auto"/>
      </w:pPr>
      <w:r>
        <w:rPr/>
        <w:t xml:space="preserve">Check: Maandelijkse SLA-rapportage (uptime, tickets, patchcompliance, CSAT ≥ 8,2), kwartaalservice review.</w:t>
      </w:r>
    </w:p>
    <w:p>
      <w:pPr>
        <w:numPr>
          <w:ilvl w:val="1"/>
          <w:numId w:val="12"/>
        </w:numPr>
        <w:spacing w:lineRule="auto"/>
      </w:pPr>
      <w:r>
        <w:rPr/>
        <w:t xml:space="preserve">Act: Kwartaal-initiatieven (automation, noise-reductie ≥ 15% in 6 maanden, FCR +5%-punten per halfjaar).</w:t>
      </w:r>
    </w:p>
    <w:p>
      <w:pPr>
        <w:spacing w:lineRule="auto"/>
      </w:pPr>
      <w:r>
        <w:rPr/>
        <w:t xml:space="preserve">5.2 Duurzaamheid (20%)</w:t>
      </w:r>
    </w:p>
    <w:p>
      <w:pPr>
        <w:numPr>
          <w:ilvl w:val="0"/>
          <w:numId w:val="13"/>
        </w:numPr>
        <w:spacing w:lineRule="auto"/>
      </w:pPr>
      <w:r>
        <w:rPr/>
        <w:t xml:space="preserve">Wat goed eruitziet:</w:t>
      </w:r>
    </w:p>
    <w:p>
      <w:pPr>
        <w:numPr>
          <w:ilvl w:val="1"/>
          <w:numId w:val="14"/>
        </w:numPr>
        <w:spacing w:lineRule="auto"/>
      </w:pPr>
      <w:r>
        <w:rPr/>
        <w:t xml:space="preserve">100% hernieuwbare energie voor hosting/monitoring; CO2 per beheeruur ≤ 0,5 kg CO2e in 2025; trendmatig -10%/jaar.</w:t>
      </w:r>
    </w:p>
    <w:p>
      <w:pPr>
        <w:numPr>
          <w:ilvl w:val="1"/>
          <w:numId w:val="14"/>
        </w:numPr>
        <w:spacing w:lineRule="auto"/>
      </w:pPr>
      <w:r>
        <w:rPr/>
        <w:t xml:space="preserve">100% WEEE-conforme e-waste verwerking met certificaat binnen 30 dagen na afvoer.</w:t>
      </w:r>
    </w:p>
    <w:p>
      <w:pPr>
        <w:numPr>
          <w:ilvl w:val="1"/>
          <w:numId w:val="14"/>
        </w:numPr>
        <w:spacing w:lineRule="auto"/>
      </w:pPr>
      <w:r>
        <w:rPr/>
        <w:t xml:space="preserve">80% remote interventies; 100% EV/hybride voor onsite bezoeken uiterlijk 2026; papierloos werken.</w:t>
      </w:r>
    </w:p>
    <w:p>
      <w:pPr>
        <w:numPr>
          <w:ilvl w:val="0"/>
          <w:numId w:val="13"/>
        </w:numPr>
        <w:spacing w:lineRule="auto"/>
      </w:pPr>
      <w:r>
        <w:rPr/>
        <w:t xml:space="preserve">Onze invulling (Uno):</w:t>
      </w:r>
    </w:p>
    <w:p>
      <w:pPr>
        <w:numPr>
          <w:ilvl w:val="1"/>
          <w:numId w:val="15"/>
        </w:numPr>
        <w:spacing w:lineRule="auto"/>
      </w:pPr>
      <w:r>
        <w:rPr/>
        <w:t xml:space="preserve">Plan: Jaarlijks CO2-reductieplan en e-waste roadmap; leverancierscode voor duurzame keten.</w:t>
      </w:r>
    </w:p>
    <w:p>
      <w:pPr>
        <w:numPr>
          <w:ilvl w:val="1"/>
          <w:numId w:val="15"/>
        </w:numPr>
        <w:spacing w:lineRule="auto"/>
      </w:pPr>
      <w:r>
        <w:rPr/>
        <w:t xml:space="preserve">Do: Remote-first, energie-efficiënte configuraties, levensduurverlenging van hardware waar toegestaan.</w:t>
      </w:r>
    </w:p>
    <w:p>
      <w:pPr>
        <w:numPr>
          <w:ilvl w:val="1"/>
          <w:numId w:val="15"/>
        </w:numPr>
        <w:spacing w:lineRule="auto"/>
      </w:pPr>
      <w:r>
        <w:rPr/>
        <w:t xml:space="preserve">Check: Kwartaalrapport CO2/uur, e-waste volumes en certificaten; audit op leveranciers.</w:t>
      </w:r>
    </w:p>
    <w:p>
      <w:pPr>
        <w:numPr>
          <w:ilvl w:val="1"/>
          <w:numId w:val="15"/>
        </w:numPr>
        <w:spacing w:lineRule="auto"/>
      </w:pPr>
      <w:r>
        <w:rPr/>
        <w:t xml:space="preserve">Act: Optimaliseren werkpakketten om reis- en energie-footprint te verlagen; switchen naar efficiëntere tooling indien meetbaar beter.</w:t>
      </w:r>
    </w:p>
    <w:p>
      <w:pPr>
        <w:spacing w:lineRule="auto"/>
      </w:pPr>
      <w:r>
        <w:rPr/>
        <w:t xml:space="preserve">5.3 Risicobeheersing (20%)</w:t>
      </w:r>
    </w:p>
    <w:p>
      <w:pPr>
        <w:numPr>
          <w:ilvl w:val="0"/>
          <w:numId w:val="16"/>
        </w:numPr>
        <w:spacing w:lineRule="auto"/>
      </w:pPr>
      <w:r>
        <w:rPr/>
        <w:t xml:space="preserve">Wat goed eruitziet:</w:t>
      </w:r>
    </w:p>
    <w:p>
      <w:pPr>
        <w:numPr>
          <w:ilvl w:val="1"/>
          <w:numId w:val="17"/>
        </w:numPr>
        <w:spacing w:lineRule="auto"/>
      </w:pPr>
      <w:r>
        <w:rPr/>
        <w:t xml:space="preserve">Volledig risicoregister met impact/probabiliteit, mitigatie, eigenaar, RTO/RPO; halfjaarlijkse BCP-test.</w:t>
      </w:r>
    </w:p>
    <w:p>
      <w:pPr>
        <w:numPr>
          <w:ilvl w:val="1"/>
          <w:numId w:val="17"/>
        </w:numPr>
        <w:spacing w:lineRule="auto"/>
      </w:pPr>
      <w:r>
        <w:rPr/>
        <w:t xml:space="preserve">Ketenmonitoring (POS, payment, koelingen/IoT) met end-to-end zichtbaarheid en escalatieroutes.</w:t>
      </w:r>
    </w:p>
    <w:p>
      <w:pPr>
        <w:numPr>
          <w:ilvl w:val="1"/>
          <w:numId w:val="17"/>
        </w:numPr>
        <w:spacing w:lineRule="auto"/>
      </w:pPr>
      <w:r>
        <w:rPr/>
        <w:t xml:space="preserve">Zero-trust, MFA, EDR op 100% endpoints; datalekken 0; major security incidenten 0.</w:t>
      </w:r>
    </w:p>
    <w:p>
      <w:pPr>
        <w:numPr>
          <w:ilvl w:val="0"/>
          <w:numId w:val="16"/>
        </w:numPr>
        <w:spacing w:lineRule="auto"/>
      </w:pPr>
      <w:r>
        <w:rPr/>
        <w:t xml:space="preserve">Onze invulling (Uno):</w:t>
      </w:r>
    </w:p>
    <w:p>
      <w:pPr>
        <w:numPr>
          <w:ilvl w:val="1"/>
          <w:numId w:val="18"/>
        </w:numPr>
        <w:spacing w:lineRule="auto"/>
      </w:pPr>
      <w:r>
        <w:rPr/>
        <w:t xml:space="preserve">Plan: Risicodossier binnen 30 dagen; RTO ≤ 4 uur, RPO ≤ 1 uur voor kritieke systemen; afhankelijkheden gemapt.</w:t>
      </w:r>
    </w:p>
    <w:p>
      <w:pPr>
        <w:numPr>
          <w:ilvl w:val="1"/>
          <w:numId w:val="18"/>
        </w:numPr>
        <w:spacing w:lineRule="auto"/>
      </w:pPr>
      <w:r>
        <w:rPr/>
        <w:t xml:space="preserve">Do: 24/7 MIM (Major Incident Management), CAB, playbooks, immutabele back-ups.</w:t>
      </w:r>
    </w:p>
    <w:p>
      <w:pPr>
        <w:numPr>
          <w:ilvl w:val="1"/>
          <w:numId w:val="18"/>
        </w:numPr>
        <w:spacing w:lineRule="auto"/>
      </w:pPr>
      <w:r>
        <w:rPr/>
        <w:t xml:space="preserve">Check: Post-incident reviews binnen 5 werkdagen; quarterly tabletop BCP; KPI’s in managementdashboard.</w:t>
      </w:r>
    </w:p>
    <w:p>
      <w:pPr>
        <w:numPr>
          <w:ilvl w:val="1"/>
          <w:numId w:val="18"/>
        </w:numPr>
        <w:spacing w:lineRule="auto"/>
      </w:pPr>
      <w:r>
        <w:rPr/>
        <w:t xml:space="preserve">Act: Root cause elimineren binnen 30 dagen; wijzigingsvoorstellen in CAB; lessons learned integreren in runbooks.</w:t>
      </w:r>
    </w:p>
    <w:p>
      <w:pPr>
        <w:spacing w:lineRule="auto"/>
      </w:pPr>
      <w:r>
        <w:rPr/>
        <w:t xml:space="preserve">5.4 Prijs (20%)</w:t>
      </w:r>
    </w:p>
    <w:p>
      <w:pPr>
        <w:numPr>
          <w:ilvl w:val="0"/>
          <w:numId w:val="19"/>
        </w:numPr>
        <w:spacing w:lineRule="auto"/>
      </w:pPr>
      <w:r>
        <w:rPr/>
        <w:t xml:space="preserve">Wat goed eruitziet:</w:t>
      </w:r>
    </w:p>
    <w:p>
      <w:pPr>
        <w:numPr>
          <w:ilvl w:val="1"/>
          <w:numId w:val="20"/>
        </w:numPr>
        <w:spacing w:lineRule="auto"/>
      </w:pPr>
      <w:r>
        <w:rPr/>
        <w:t xml:space="preserve">Transparante prijsopbouw (beheer maandelijks, onboarding eenmalig), heldere staffels, geen verborgen posten.</w:t>
      </w:r>
    </w:p>
    <w:p>
      <w:pPr>
        <w:numPr>
          <w:ilvl w:val="1"/>
          <w:numId w:val="20"/>
        </w:numPr>
        <w:spacing w:lineRule="auto"/>
      </w:pPr>
      <w:r>
        <w:rPr/>
        <w:t xml:space="preserve">Life-cycle benadering: TCO-lens, efficiëntie door automatisering zichtbaar gemaakt.</w:t>
      </w:r>
    </w:p>
    <w:p>
      <w:pPr>
        <w:numPr>
          <w:ilvl w:val="0"/>
          <w:numId w:val="19"/>
        </w:numPr>
        <w:spacing w:lineRule="auto"/>
      </w:pPr>
      <w:r>
        <w:rPr/>
        <w:t xml:space="preserve">Onze invulling (Uno):</w:t>
      </w:r>
    </w:p>
    <w:p>
      <w:pPr>
        <w:numPr>
          <w:ilvl w:val="1"/>
          <w:numId w:val="21"/>
        </w:numPr>
        <w:spacing w:lineRule="auto"/>
      </w:pPr>
      <w:r>
        <w:rPr/>
        <w:t xml:space="preserve">Pricing locked conform opdrachtgever; remote-first en automatisering om kosten voorspelbaar te houden; changeprijzen vooraf gedefinieerd.</w:t>
      </w:r>
    </w:p>
    <w:p>
      <w:pPr>
        <w:numPr>
          <w:ilvl w:val="0"/>
          <w:numId w:val="22"/>
        </w:numPr>
        <w:spacing w:lineRule="auto"/>
      </w:pPr>
      <w:r>
        <w:rPr/>
        <w:t xml:space="preserve">Werkpakketten (W-xx) en PDCA-borging</w:t>
      </w:r>
    </w:p>
    <w:p>
      <w:pPr>
        <w:numPr>
          <w:ilvl w:val="0"/>
          <w:numId w:val="23"/>
        </w:numPr>
        <w:spacing w:lineRule="auto"/>
      </w:pPr>
      <w:r>
        <w:rPr/>
        <w:t xml:space="preserve">W-01 Governance &amp; Rapportage: servicecatalogus, RACI, maandrapportage, kwartaalreviews. PDCA: Maand/kwartaal.</w:t>
      </w:r>
    </w:p>
    <w:p>
      <w:pPr>
        <w:numPr>
          <w:ilvl w:val="0"/>
          <w:numId w:val="23"/>
        </w:numPr>
        <w:spacing w:lineRule="auto"/>
      </w:pPr>
      <w:r>
        <w:rPr/>
        <w:t xml:space="preserve">W-02 Servicedesk &amp; Incidentmanagement: 24/7 intake, triage, FCR, MIM. PDCA: Wekelijkse ticket quality review.</w:t>
      </w:r>
    </w:p>
    <w:p>
      <w:pPr>
        <w:numPr>
          <w:ilvl w:val="0"/>
          <w:numId w:val="23"/>
        </w:numPr>
        <w:spacing w:lineRule="auto"/>
      </w:pPr>
      <w:r>
        <w:rPr/>
        <w:t xml:space="preserve">W-03 Monitoring &amp; Patchmanagement: 100% coverage, patch-SLA’s, kwetsbaarhedenscan. PDCA: Maandelijkse compliance check.</w:t>
      </w:r>
    </w:p>
    <w:p>
      <w:pPr>
        <w:numPr>
          <w:ilvl w:val="0"/>
          <w:numId w:val="23"/>
        </w:numPr>
        <w:spacing w:lineRule="auto"/>
      </w:pPr>
      <w:r>
        <w:rPr/>
        <w:t xml:space="preserve">W-04 Security &amp; Compliance (EU-data): IAM, MFA, EDR, SIEM, AVG/DPIA. PDCA: Maandelijkse SOC-rapporten, jaarlijkse audit.</w:t>
      </w:r>
    </w:p>
    <w:p>
      <w:pPr>
        <w:numPr>
          <w:ilvl w:val="0"/>
          <w:numId w:val="23"/>
        </w:numPr>
        <w:spacing w:lineRule="auto"/>
      </w:pPr>
      <w:r>
        <w:rPr/>
        <w:t xml:space="preserve">W-05 Continuïteit &amp; BCP: RTO/RPO, back-ups, DR-tests. PDCA: Kwartaal tabletop, jaarlijkse failover-test.</w:t>
      </w:r>
    </w:p>
    <w:p>
      <w:pPr>
        <w:numPr>
          <w:ilvl w:val="0"/>
          <w:numId w:val="23"/>
        </w:numPr>
        <w:spacing w:lineRule="auto"/>
      </w:pPr>
      <w:r>
        <w:rPr/>
        <w:t xml:space="preserve">W-06 Duurzaamheid: CO2, e-waste, energie. PDCA: Kwartaalrapport, jaarplan update.</w:t>
      </w:r>
    </w:p>
    <w:p>
      <w:pPr>
        <w:numPr>
          <w:ilvl w:val="0"/>
          <w:numId w:val="23"/>
        </w:numPr>
        <w:spacing w:lineRule="auto"/>
      </w:pPr>
      <w:r>
        <w:rPr/>
        <w:t xml:space="preserve">W-07 Microsoft 365 Support: endpoint management, DLP, adoption support op verzoek. PDCA: Maandelijkse tenant health-check.</w:t>
      </w:r>
    </w:p>
    <w:p>
      <w:pPr>
        <w:numPr>
          <w:ilvl w:val="0"/>
          <w:numId w:val="23"/>
        </w:numPr>
        <w:spacing w:lineRule="auto"/>
      </w:pPr>
      <w:r>
        <w:rPr/>
        <w:t xml:space="preserve">W-08 Implementatie &amp; Onboarding: discovery, baselining, migraties. PDCA: Projectboard wekelijks, eindreview.</w:t>
      </w:r>
    </w:p>
    <w:p>
      <w:pPr>
        <w:numPr>
          <w:ilvl w:val="0"/>
          <w:numId w:val="23"/>
        </w:numPr>
        <w:spacing w:lineRule="auto"/>
      </w:pPr>
      <w:r>
        <w:rPr/>
        <w:t xml:space="preserve">W-09 Rapportage &amp; Improvement: KPI-dashboard, CSAT, verbeterbacklog. PDCA: Maandelijks CAB/CSI-sessie.</w:t>
      </w:r>
    </w:p>
    <w:p>
      <w:pPr>
        <w:numPr>
          <w:ilvl w:val="0"/>
          <w:numId w:val="24"/>
        </w:numPr>
        <w:spacing w:lineRule="auto"/>
      </w:pPr>
      <w:r>
        <w:rPr/>
        <w:t xml:space="preserve">KPI’s gekoppeld aan SLA en musts</w:t>
      </w:r>
    </w:p>
    <w:p>
      <w:pPr>
        <w:numPr>
          <w:ilvl w:val="0"/>
          <w:numId w:val="25"/>
        </w:numPr>
        <w:spacing w:lineRule="auto"/>
      </w:pPr>
      <w:r>
        <w:rPr/>
        <w:t xml:space="preserve">Beschikbaarheid kritieke systemen (SLA): ≥ 99,8%/maand. Meting: monitoring-export; onderhoudsvensters uitgesloten.</w:t>
      </w:r>
    </w:p>
    <w:p>
      <w:pPr>
        <w:numPr>
          <w:ilvl w:val="0"/>
          <w:numId w:val="25"/>
        </w:numPr>
        <w:spacing w:lineRule="auto"/>
      </w:pPr>
      <w:r>
        <w:rPr/>
        <w:t xml:space="preserve">P1-responstijd: ≤ 30 min (24/7); P1-oplos: ≤ 4 uur. Meting: ITSM-timestamp.</w:t>
      </w:r>
    </w:p>
    <w:p>
      <w:pPr>
        <w:numPr>
          <w:ilvl w:val="0"/>
          <w:numId w:val="25"/>
        </w:numPr>
        <w:spacing w:lineRule="auto"/>
      </w:pPr>
      <w:r>
        <w:rPr/>
        <w:t xml:space="preserve">Patchcompliance: ≥ 97% kritieke patches ≤ 14 dagen; ≥ 95% overige ≤ 30 dagen. Meting: patchconsole.</w:t>
      </w:r>
    </w:p>
    <w:p>
      <w:pPr>
        <w:numPr>
          <w:ilvl w:val="0"/>
          <w:numId w:val="25"/>
        </w:numPr>
        <w:spacing w:lineRule="auto"/>
      </w:pPr>
      <w:r>
        <w:rPr/>
        <w:t xml:space="preserve">Monitoring coverage: 100% gedefinieerde assets binnen 30 dagen na start. Meting: CMDB vs. monitoring.</w:t>
      </w:r>
    </w:p>
    <w:p>
      <w:pPr>
        <w:numPr>
          <w:ilvl w:val="0"/>
          <w:numId w:val="25"/>
        </w:numPr>
        <w:spacing w:lineRule="auto"/>
      </w:pPr>
      <w:r>
        <w:rPr/>
        <w:t xml:space="preserve">First Contact Resolution: ≥ 70%. Meting: ITSM.</w:t>
      </w:r>
    </w:p>
    <w:p>
      <w:pPr>
        <w:numPr>
          <w:ilvl w:val="0"/>
          <w:numId w:val="25"/>
        </w:numPr>
        <w:spacing w:lineRule="auto"/>
      </w:pPr>
      <w:r>
        <w:rPr/>
        <w:t xml:space="preserve">CSAT: ≥ 8,2 gemiddelde/maand, n≥30 responses/kwartaal. Meting: survey.</w:t>
      </w:r>
    </w:p>
    <w:p>
      <w:pPr>
        <w:numPr>
          <w:ilvl w:val="0"/>
          <w:numId w:val="25"/>
        </w:numPr>
        <w:spacing w:lineRule="auto"/>
      </w:pPr>
      <w:r>
        <w:rPr/>
        <w:t xml:space="preserve">EU-dataresidency: 100% binnen EU. Meting: DPA’s en datalocatie-overzichten.</w:t>
      </w:r>
    </w:p>
    <w:p>
      <w:pPr>
        <w:numPr>
          <w:ilvl w:val="0"/>
          <w:numId w:val="25"/>
        </w:numPr>
        <w:spacing w:lineRule="auto"/>
      </w:pPr>
      <w:r>
        <w:rPr/>
        <w:t xml:space="preserve">Security: 0 major incidenten; 0 datalekken. Meting: SOC- en DPO-rapport.</w:t>
      </w:r>
    </w:p>
    <w:p>
      <w:pPr>
        <w:numPr>
          <w:ilvl w:val="0"/>
          <w:numId w:val="25"/>
        </w:numPr>
        <w:spacing w:lineRule="auto"/>
      </w:pPr>
      <w:r>
        <w:rPr/>
        <w:t xml:space="preserve">Duurzaamheid: CO2 ≤ 0,5 kg CO2e/uur beheer in 2025; -10%/jaar trend. Meting: GHG Protocol, energiecertificaten.</w:t>
      </w:r>
    </w:p>
    <w:p>
      <w:pPr>
        <w:numPr>
          <w:ilvl w:val="0"/>
          <w:numId w:val="25"/>
        </w:numPr>
        <w:spacing w:lineRule="auto"/>
      </w:pPr>
      <w:r>
        <w:rPr/>
        <w:t xml:space="preserve">E-waste: 100% WEEE-conform, certificaat ≤ 30 dagen na disposal. Meting: verwerkingsbewijs.</w:t>
      </w:r>
    </w:p>
    <w:p>
      <w:pPr>
        <w:numPr>
          <w:ilvl w:val="0"/>
          <w:numId w:val="26"/>
        </w:numPr>
        <w:spacing w:lineRule="auto"/>
      </w:pPr>
      <w:r>
        <w:rPr/>
        <w:t xml:space="preserve">Risicodossier (selectie, SMART mitigatie)</w:t>
      </w:r>
    </w:p>
    <w:p>
      <w:pPr>
        <w:numPr>
          <w:ilvl w:val="0"/>
          <w:numId w:val="27"/>
        </w:numPr>
        <w:spacing w:lineRule="auto"/>
      </w:pPr>
      <w:r>
        <w:rPr/>
        <w:t xml:space="preserve">R-01 Niet halen 99,8% beschikbaarheid. Mitigatie: redundantie, onderhoud buiten piek; target: ≥ 99,8%. Evidentie: uptime-rapporten. W-03/W-05.</w:t>
      </w:r>
    </w:p>
    <w:p>
      <w:pPr>
        <w:numPr>
          <w:ilvl w:val="0"/>
          <w:numId w:val="27"/>
        </w:numPr>
        <w:spacing w:lineRule="auto"/>
      </w:pPr>
      <w:r>
        <w:rPr/>
        <w:t xml:space="preserve">R-02 Security-incident. Mitigatie: EDR 100%, MFA 100%, patch-ritme; target: 0 major; Evidentie: SOC-rapport. W-04.</w:t>
      </w:r>
    </w:p>
    <w:p>
      <w:pPr>
        <w:numPr>
          <w:ilvl w:val="0"/>
          <w:numId w:val="27"/>
        </w:numPr>
        <w:spacing w:lineRule="auto"/>
      </w:pPr>
      <w:r>
        <w:rPr/>
        <w:t xml:space="preserve">R-03 Onvolledige monitoring. Mitigatie: CMDB reconciliatie wekelijks; target: 100% coverage; Evidentie: CMDB-audit. W-03.</w:t>
      </w:r>
    </w:p>
    <w:p>
      <w:pPr>
        <w:numPr>
          <w:ilvl w:val="0"/>
          <w:numId w:val="27"/>
        </w:numPr>
        <w:spacing w:lineRule="auto"/>
      </w:pPr>
      <w:r>
        <w:rPr/>
        <w:t xml:space="preserve">R-04 Leveranciersafhankelijkheid (M365/POS). Mitigatie: contractmatrix en escalatielijnen; target: herstel binnen RTO; Evidentie: ketenovereenkomst. W-01/W-05.</w:t>
      </w:r>
    </w:p>
    <w:p>
      <w:pPr>
        <w:numPr>
          <w:ilvl w:val="0"/>
          <w:numId w:val="27"/>
        </w:numPr>
        <w:spacing w:lineRule="auto"/>
      </w:pPr>
      <w:r>
        <w:rPr/>
        <w:t xml:space="preserve">R-05 Beperkt patchwindow. Mitigatie: canary en phased roll-out; target: ≥ 97% kritieke patches; Evidentie: patchrapport. W-03.</w:t>
      </w:r>
    </w:p>
    <w:p>
      <w:pPr>
        <w:numPr>
          <w:ilvl w:val="0"/>
          <w:numId w:val="27"/>
        </w:numPr>
        <w:spacing w:lineRule="auto"/>
      </w:pPr>
      <w:r>
        <w:rPr/>
        <w:t xml:space="preserve">R-06 Data buiten EU. Mitigatie: datalocatie restricties; target: 100% EU; Evidentie: DPA’s, verwerkersoverzicht. W-04.</w:t>
      </w:r>
    </w:p>
    <w:p>
      <w:pPr>
        <w:numPr>
          <w:ilvl w:val="0"/>
          <w:numId w:val="27"/>
        </w:numPr>
        <w:spacing w:lineRule="auto"/>
      </w:pPr>
      <w:r>
        <w:rPr/>
        <w:t xml:space="preserve">R-07 Single point of failure personeel. Mitigatie: 2-deep staffing; target: 0 SPOF; Evidentie: rooster en skills-matrix. W-01/W-02.</w:t>
      </w:r>
    </w:p>
    <w:p>
      <w:pPr>
        <w:numPr>
          <w:ilvl w:val="0"/>
          <w:numId w:val="27"/>
        </w:numPr>
        <w:spacing w:lineRule="auto"/>
      </w:pPr>
      <w:r>
        <w:rPr/>
        <w:t xml:space="preserve">R-08 Piekbelasting 24/7. Mitigatie: auto-scaling alerts en wachtdienst; target: P1-respons ≤ 30 min; Evidentie: ITSM-log. W-02/W-03.</w:t>
      </w:r>
    </w:p>
    <w:p>
      <w:pPr>
        <w:numPr>
          <w:ilvl w:val="0"/>
          <w:numId w:val="27"/>
        </w:numPr>
        <w:spacing w:lineRule="auto"/>
      </w:pPr>
      <w:r>
        <w:rPr/>
        <w:t xml:space="preserve">R-09 Ketenstoring POS/koelingen. Mitigatie: end-to-end synthetic monitoring; target: detectie ≤ 5 min; Evidentie: monitoring-snapshots. W-03.</w:t>
      </w:r>
    </w:p>
    <w:p>
      <w:pPr>
        <w:numPr>
          <w:ilvl w:val="0"/>
          <w:numId w:val="28"/>
        </w:numPr>
        <w:spacing w:lineRule="auto"/>
      </w:pPr>
      <w:r>
        <w:rPr/>
        <w:t xml:space="preserve">Kruisverbanden W-xx ↔ KPI ↔ Risico ↔ Bewijs</w:t>
      </w:r>
    </w:p>
    <w:p>
      <w:pPr>
        <w:numPr>
          <w:ilvl w:val="0"/>
          <w:numId w:val="29"/>
        </w:numPr>
        <w:spacing w:lineRule="auto"/>
      </w:pPr>
      <w:r>
        <w:rPr/>
        <w:t xml:space="preserve">W-01 Governance &amp; Rapportage ↔ KPI: CSAT, CAB-succesrate, auditclose-outs ↔ Risico: R-07 ↔ Bewijs: notulen CAB, skills-matrix, auditrapporten.</w:t>
      </w:r>
    </w:p>
    <w:p>
      <w:pPr>
        <w:numPr>
          <w:ilvl w:val="0"/>
          <w:numId w:val="29"/>
        </w:numPr>
        <w:spacing w:lineRule="auto"/>
      </w:pPr>
      <w:r>
        <w:rPr/>
        <w:t xml:space="preserve">W-02 Servicedesk &amp; Incident ↔ KPI: P1-respons/solve, FCR ↔ Risico: R-08 ↔ Bewijs: ITSM-extract, MIM-rapporten.</w:t>
      </w:r>
    </w:p>
    <w:p>
      <w:pPr>
        <w:numPr>
          <w:ilvl w:val="0"/>
          <w:numId w:val="29"/>
        </w:numPr>
        <w:spacing w:lineRule="auto"/>
      </w:pPr>
      <w:r>
        <w:rPr/>
        <w:t xml:space="preserve">W-03 Monitoring &amp; Patch ↔ KPI: uptime, coverage, patchcompliance ↔ Risico: R-01, R-03, R-05, R-09 ↔ Bewijs: uptime-exports, patchdashboards.</w:t>
      </w:r>
    </w:p>
    <w:p>
      <w:pPr>
        <w:numPr>
          <w:ilvl w:val="0"/>
          <w:numId w:val="29"/>
        </w:numPr>
        <w:spacing w:lineRule="auto"/>
      </w:pPr>
      <w:r>
        <w:rPr/>
        <w:t xml:space="preserve">W-04 Security &amp; Compliance ↔ KPI: 0 major, EU-data 100% ↔ Risico: R-02, R-06 ↔ Bewijs: SIEM-rapport, DPA’s, pentest-samenvattingen.</w:t>
      </w:r>
    </w:p>
    <w:p>
      <w:pPr>
        <w:numPr>
          <w:ilvl w:val="0"/>
          <w:numId w:val="29"/>
        </w:numPr>
        <w:spacing w:lineRule="auto"/>
      </w:pPr>
      <w:r>
        <w:rPr/>
        <w:t xml:space="preserve">W-05 Continuïteit &amp; BCP ↔ KPI: RTO/RPO gehaald ↔ Risico: R-01, R-04 ↔ Bewijs: DR-testverslag, back-up logs.</w:t>
      </w:r>
    </w:p>
    <w:p>
      <w:pPr>
        <w:numPr>
          <w:ilvl w:val="0"/>
          <w:numId w:val="29"/>
        </w:numPr>
        <w:spacing w:lineRule="auto"/>
      </w:pPr>
      <w:r>
        <w:rPr/>
        <w:t xml:space="preserve">W-06 Duurzaamheid ↔ KPI: CO2/uur, e-waste 100% WEEE ↔ Risico: leverings- en reputatierisico ↔ Bewijs: CO2-rapport, afvalcertificaten.</w:t>
      </w:r>
    </w:p>
    <w:p>
      <w:pPr>
        <w:numPr>
          <w:ilvl w:val="0"/>
          <w:numId w:val="29"/>
        </w:numPr>
        <w:spacing w:lineRule="auto"/>
      </w:pPr>
      <w:r>
        <w:rPr/>
        <w:t xml:space="preserve">W-07 Microsoft 365 ↔ KPI: tenant health-score, DLP-incidenten ↔ Risico: data-exfiltratie ↔ Bewijs: M365 Secure Score, DLP-logs.</w:t>
      </w:r>
    </w:p>
    <w:p>
      <w:pPr>
        <w:numPr>
          <w:ilvl w:val="0"/>
          <w:numId w:val="29"/>
        </w:numPr>
        <w:spacing w:lineRule="auto"/>
      </w:pPr>
      <w:r>
        <w:rPr/>
        <w:t xml:space="preserve">W-08 Implementatie &amp; Onboarding ↔ KPI: onboarding ≤ 30 dagen, 100% baselining ↔ Risico: vertraagde start ↔ Bewijs: projectplan, opleverrapport.</w:t>
      </w:r>
    </w:p>
    <w:p>
      <w:pPr>
        <w:numPr>
          <w:ilvl w:val="0"/>
          <w:numId w:val="29"/>
        </w:numPr>
        <w:spacing w:lineRule="auto"/>
      </w:pPr>
      <w:r>
        <w:rPr/>
        <w:t xml:space="preserve">W-09 Rapportage &amp; Improvement ↔ KPI: verbeterdoorlooptijd ≤ 30 dagen ↔ Risico: stilstand ↔ Bewijs: CSI-backlog, changelog.</w:t>
      </w:r>
    </w:p>
    <w:p>
      <w:pPr>
        <w:numPr>
          <w:ilvl w:val="0"/>
          <w:numId w:val="30"/>
        </w:numPr>
        <w:spacing w:lineRule="auto"/>
      </w:pPr>
      <w:r>
        <w:rPr/>
        <w:t xml:space="preserve">Prijsbeoordeling (lineaire normering)</w:t>
      </w:r>
    </w:p>
    <w:p>
      <w:pPr>
        <w:numPr>
          <w:ilvl w:val="0"/>
          <w:numId w:val="31"/>
        </w:numPr>
        <w:spacing w:lineRule="auto"/>
      </w:pPr>
      <w:r>
        <w:rPr/>
        <w:t xml:space="preserve">Methode: Score prijs = (laagste inschrijfprijs / inschrijfprijs) × 10. Weging 20%.</w:t>
      </w:r>
    </w:p>
    <w:p>
      <w:pPr>
        <w:numPr>
          <w:ilvl w:val="0"/>
          <w:numId w:val="31"/>
        </w:numPr>
        <w:spacing w:lineRule="auto"/>
      </w:pPr>
      <w:r>
        <w:rPr/>
        <w:t xml:space="preserve">Afronding op 0,1 punt; bij gelijke prijzen gelijke score; irreële tarieven getoetst op consistentie met scope (transparantie/realiteitscheck zonder herweging).</w:t>
      </w:r>
    </w:p>
    <w:p>
      <w:pPr>
        <w:numPr>
          <w:ilvl w:val="0"/>
          <w:numId w:val="32"/>
        </w:numPr>
        <w:spacing w:lineRule="auto"/>
      </w:pPr>
      <w:r>
        <w:rPr/>
        <w:t xml:space="preserve">Gunning en PDCA-borging</w:t>
      </w:r>
    </w:p>
    <w:p>
      <w:pPr>
        <w:numPr>
          <w:ilvl w:val="0"/>
          <w:numId w:val="33"/>
        </w:numPr>
        <w:spacing w:lineRule="auto"/>
      </w:pPr>
      <w:r>
        <w:rPr/>
        <w:t xml:space="preserve">Totaalscore = Σ(criteriumscore 0-10 × weging). Hoogste totaalscore wint, mits KO/must behaald.</w:t>
      </w:r>
    </w:p>
    <w:p>
      <w:pPr>
        <w:numPr>
          <w:ilvl w:val="0"/>
          <w:numId w:val="33"/>
        </w:numPr>
        <w:spacing w:lineRule="auto"/>
      </w:pPr>
      <w:r>
        <w:rPr/>
        <w:t xml:space="preserve">Contractstart (Plan): kick-off, governance-inrichting, risicodossier en KPI-baseline binnen 30 dagen.</w:t>
      </w:r>
    </w:p>
    <w:p>
      <w:pPr>
        <w:numPr>
          <w:ilvl w:val="0"/>
          <w:numId w:val="33"/>
        </w:numPr>
        <w:spacing w:lineRule="auto"/>
      </w:pPr>
      <w:r>
        <w:rPr/>
        <w:t xml:space="preserve">Uitvoering (Do): levering conform W-xx, 24/7 operatie.</w:t>
      </w:r>
    </w:p>
    <w:p>
      <w:pPr>
        <w:numPr>
          <w:ilvl w:val="0"/>
          <w:numId w:val="33"/>
        </w:numPr>
        <w:spacing w:lineRule="auto"/>
      </w:pPr>
      <w:r>
        <w:rPr/>
        <w:t xml:space="preserve">Toezicht (Check): maandrapportage SLA/KPI, kwartaalreview incl. duurzaamheid.</w:t>
      </w:r>
    </w:p>
    <w:p>
      <w:pPr>
        <w:numPr>
          <w:ilvl w:val="0"/>
          <w:numId w:val="33"/>
        </w:numPr>
        <w:spacing w:lineRule="auto"/>
      </w:pPr>
      <w:r>
        <w:rPr/>
        <w:t xml:space="preserve">Verbetering (Act): CSI-roadmap met maatregel, eigenaar, deadline; minimaal 3 verbeterinitiatieven per kwartaal, effect gemeten in daaropvolgende rapportage.</w:t>
      </w:r>
    </w:p>
    <w:p>
      <w:pPr>
        <w:numPr>
          <w:ilvl w:val="0"/>
          <w:numId w:val="34"/>
        </w:numPr>
        <w:spacing w:lineRule="auto"/>
      </w:pPr>
      <w:r>
        <w:rPr/>
        <w:t xml:space="preserve">Bewijsvoering (bij gunning te overleggen, toetsbaar tijdens uitvoering)</w:t>
      </w:r>
    </w:p>
    <w:p>
      <w:pPr>
        <w:numPr>
          <w:ilvl w:val="0"/>
          <w:numId w:val="35"/>
        </w:numPr>
        <w:spacing w:lineRule="auto"/>
      </w:pPr>
      <w:r>
        <w:rPr/>
        <w:t xml:space="preserve">Certificaten: ISO 27001/9001 actueel.</w:t>
      </w:r>
    </w:p>
    <w:p>
      <w:pPr>
        <w:numPr>
          <w:ilvl w:val="0"/>
          <w:numId w:val="35"/>
        </w:numPr>
        <w:spacing w:lineRule="auto"/>
      </w:pPr>
      <w:r>
        <w:rPr/>
        <w:t xml:space="preserve">Veiligheid: SOC/SIEM-rapportages, pentest-samenvatting.</w:t>
      </w:r>
    </w:p>
    <w:p>
      <w:pPr>
        <w:numPr>
          <w:ilvl w:val="0"/>
          <w:numId w:val="35"/>
        </w:numPr>
        <w:spacing w:lineRule="auto"/>
      </w:pPr>
      <w:r>
        <w:rPr/>
        <w:t xml:space="preserve">SLA/KPI: monitoring-exports, ITSM-extract, patchrapporten, CSAT.</w:t>
      </w:r>
    </w:p>
    <w:p>
      <w:pPr>
        <w:numPr>
          <w:ilvl w:val="0"/>
          <w:numId w:val="35"/>
        </w:numPr>
        <w:spacing w:lineRule="auto"/>
      </w:pPr>
      <w:r>
        <w:rPr/>
        <w:t xml:space="preserve">Continuïteit: BCP/DR-testverslagen, back-up- en restore-logs.</w:t>
      </w:r>
    </w:p>
    <w:p>
      <w:pPr>
        <w:numPr>
          <w:ilvl w:val="0"/>
          <w:numId w:val="35"/>
        </w:numPr>
        <w:spacing w:lineRule="auto"/>
      </w:pPr>
      <w:r>
        <w:rPr/>
        <w:t xml:space="preserve">Duurzaamheid: CO2-rapport (GHG), energiecertificaten, WEEE-bewijzen.</w:t>
      </w:r>
    </w:p>
    <w:p>
      <w:pPr>
        <w:numPr>
          <w:ilvl w:val="0"/>
          <w:numId w:val="35"/>
        </w:numPr>
        <w:spacing w:lineRule="auto"/>
      </w:pPr>
      <w:r>
        <w:rPr/>
        <w:t xml:space="preserve">EU-data: verwerkersovereenkomsten, datalocatie-overzichten, DPIA samenvatting.</w:t>
      </w:r>
    </w:p>
    <w:p>
      <w:pPr>
        <w:numPr>
          <w:ilvl w:val="0"/>
          <w:numId w:val="35"/>
        </w:numPr>
        <w:spacing w:lineRule="auto"/>
      </w:pPr>
      <w:r>
        <w:rPr/>
        <w:t xml:space="preserve">Personeel: VOG-verklaringen (indien vereist), skills-matrix en bezetting.</w:t>
      </w:r>
    </w:p>
    <w:p>
      <w:pPr>
        <w:numPr>
          <w:ilvl w:val="0"/>
          <w:numId w:val="36"/>
        </w:numPr>
        <w:spacing w:lineRule="auto"/>
      </w:pPr>
      <w:r>
        <w:rPr/>
        <w:t xml:space="preserve">Onze unieke waarde (Uno)</w:t>
      </w:r>
    </w:p>
    <w:p>
      <w:pPr>
        <w:numPr>
          <w:ilvl w:val="0"/>
          <w:numId w:val="37"/>
        </w:numPr>
        <w:spacing w:lineRule="auto"/>
      </w:pPr>
      <w:r>
        <w:rPr/>
        <w:t xml:space="preserve">ISO-geborgde 24/7 dienstverlening met aantoonbare prestaties in publieke sector en onderwijs.</w:t>
      </w:r>
    </w:p>
    <w:p>
      <w:pPr>
        <w:numPr>
          <w:ilvl w:val="0"/>
          <w:numId w:val="37"/>
        </w:numPr>
        <w:spacing w:lineRule="auto"/>
      </w:pPr>
      <w:r>
        <w:rPr/>
        <w:t xml:space="preserve">Security by design (zero-trust, EDR, SIEM) en EU-dataresidency.</w:t>
      </w:r>
    </w:p>
    <w:p>
      <w:pPr>
        <w:numPr>
          <w:ilvl w:val="0"/>
          <w:numId w:val="37"/>
        </w:numPr>
        <w:spacing w:lineRule="auto"/>
      </w:pPr>
      <w:r>
        <w:rPr/>
        <w:t xml:space="preserve">Sterke continuïteit: geteste BCP/DR en 2-deep staffing.</w:t>
      </w:r>
    </w:p>
    <w:p>
      <w:pPr>
        <w:numPr>
          <w:ilvl w:val="0"/>
          <w:numId w:val="37"/>
        </w:numPr>
        <w:spacing w:lineRule="auto"/>
      </w:pPr>
      <w:r>
        <w:rPr/>
        <w:t xml:space="preserve">Duurzame operatie: 100% groene stroom hosting, remote-first, meetbare CO2-reductie.</w:t>
      </w:r>
    </w:p>
    <w:p>
      <w:pPr>
        <w:numPr>
          <w:ilvl w:val="0"/>
          <w:numId w:val="37"/>
        </w:numPr>
        <w:spacing w:lineRule="auto"/>
      </w:pPr>
      <w:r>
        <w:rPr/>
        <w:t xml:space="preserve">Focus op keten: end-to-end monitoring van locatie-ICT (netwerk, POS/IoT, M365) die de catering- en horecadienstverlening direct ondersteunt.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