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(Uniform Europees Aanbestedingsdocument) volledig, ondertekend en zonder uitsluitingsgronden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W-00 ↔ KPI-00 (compliance 100%) ↔ Risico R-08 (uitsluiting) ↔ Bewijs E-00. UEA ingevuld op naam Uno Automatiseringsdiensten B.V. (KvK 27172538, BTW NL8070.79.266.B01), met verklaringen m.b.t. integriteit, belastingen en sociale zekerheid. PDCA: Plan (juridische check), Do (ondertekenen), Check (controle volledigheid), Act (actualiseren bij wijzigingen).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 UEA ondertekend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27001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↔ KPI-06 (100% kritieke assets 24/7 gemonitord) ↔ R-03 (kwetsbaarheden) ↔ E-01. Actieve ISO 27001 certificering voor ISMS; scope: beheer, onderhoud en beveiliging van cloud- en infrastructuuroplossingen. PDCA: jaarlijkse interne audits, management review, verbeteracties.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 ISO 27001 certificaat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↔ KPI-09 (SLA-naleving ≥95%) ↔ R-06 (procesafwijkingen/continuïteit) ↔ E-02. Kwaliteitsmanagementsysteem borgt procesgestuurde dienstverlening (ITIL-compatibel). PDCA: procesaudits, KPI-review, corrigerende maatregelen.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 ISO 9001 certificaat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bereikbaarheidsdienst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↔ KPI-02 (P1 responstijd &lt;30 min) ↔ R-02 (te late respons) ↔ E-03. Continu bereikbaarheidsrooster met 1e/2e-lijns standby en manager-on-duty. Telefonisch, portal en e-mail met automatische doorzetting bij P1. PDCA: maandelijkse evaluatie oproepstatistieken en bijsturing bezetting.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B3 24/7 bereikbaarheidsprotocol &amp; dienstroosters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Maximale responstijd P1-incidenten: 30 minuten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 ↔ KPI-02 (&lt;30 min) ↔ R-02 ↔ E-04/E-03. SLA ingericht met automatische P1-triage, war room-procedure en Eskalatie T+15 min. Monitoring van responstijd realtime; rapportage per maand. PDCA: trendanalyse en capaciteitsaanpassing.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 SLA-rapportagesjabloon + voorbeeld (PDF); B3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Beschikbaarheid: 99,8%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↔ KPI-01 (≥99,8%) ↔ R-01 (downtime) ↔ E-05/E-04. High-availability ontwerp, onderhoudsvensters en change freeze voor piekperioden. Uptime wordt gemeten op service-/URL-niveau en gevalideerd met klantmetingen. PDCA: probleem- en trendanalyse, verbetermaatregelen.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 Monitoring-scope &amp; meetmethode (PDF); B4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&amp; patchmanagement volledig geborgd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 ↔ KPI-04 (≥95% kritieke patches ≤14 dagen; 100% ≤30 dagen) ↔ R-03 ↔ E-06/E-05. 24/7 monitoring met alerting; maandelijkse patch windows en change-goedkeuring. Rapportage patchcompliance per systeemgroep. PDCA: non-compliance tickets, root cause en herstelplan.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 Patchmanagementprocedure &amp; rapportagevoorbeeld (PDF); B5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ITIL-gebaseerde servicedeskprocessen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 ↔ KPI-09 (SLA-naleving ≥95%) ↔ R-05 (escalatiefouten) ↔ E-07. Incident/Request/Change/Problem processen geborgd; prioritering volgens impact/urgentie; RACI vastgelegd. PDCA: maandelijkse process KPI-review, continual improvement 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 ITIL-procesbeschrijvingen &amp; RACI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 data wordt binnen de EU verwerkt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 ↔ KPI-05 (100% EU-dataresidency) ↔ R-04 (dataresidency) ↔ E-08. Contractuele borging EU-datalocaties bij verwerkers; verwerkersregister en datastromen vastgelegd; dataclassificatie en DPA’s aanwezig. PDCA: jaarlijkse leveranciersreview en technische validatie locaties.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 Verwerkersregister + DPA’s + datalocatieoverzicht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Escalatieprocedure voor incidenten &amp;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 ↔ KPI-02/KPI-03 ↔ R-05 ↔ E-09. 3-lijns escalatie met management-escalatie (T+30/T+60) en melding aan opdrachtgever volgens communicatieplan. PDCA: post-incident review en update van contactmatrix.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B9 Escalatieprocedure &amp; contactmatrix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Continuïteitsplan (BCP)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↔ KPI-10 (jaarlijkse test uitgevoerd) ↔ R-06 (dienstonderbreking) ↔ E-10. BCP/DRP met RTO/RPO; jaarlijkse tabletop en technische tests; leveranciersfallback. PDCA: testverslagen en verbeteracties.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B10 BCP/DRP + laatste testverslag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 beschikt over VOG indien vereist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 ↔ KPI-11 (100% VOG waar vereist) ↔ R-07 (toegangsrisico) ↔ E-12. Pre-employment screening met VOG-check als toegangshek tot klantomgevingen; periodieke herbeoordeling functies met verhoogd risico. PDCA: steekproefcontrole 2x per jaar.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B12 VOG-procesbeschrijving + geanonimiseerd voorbeeld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Proactieve monitoring van netwerk &amp;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 ↔ KPI-06 (100% kritieke assets onder monitoring) ↔ R-01/R-03 ↔ E-05. Realtime metrics, drempels en automatische incidentaanmaak; synthetische tests voor kritieke ketens. PDCA: tuning van alerts en maandelijkse drempelreview.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 Monitoring-scope &amp; drempelinstellingen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Ondersteuning Microsoft 365 omgeving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 ↔ KPI-12 (M365 changes zonder verstoringen: 0 P1) ↔ R-05/R-03 ↔ E-11. Beheer van Exchange Online, SharePoint, Teams, Entra ID; change kalender afgestemd met release waves; hardening baseline. PDCA: evaluatie release-impact en aanpassing baseline.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 M365-beheerplan + competentie-/certificatenoverzicht engineers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(deliverable)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 ↔ KPI-01/02/03 gekoppelde acties ↔ R-01..R-06 ↔ E-13. PvA met tijdlijn, rollen, communicatieplan, risicobeheersing en acceptatiecriteria; inclusief PDCA-cyclus per werkstroom.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B13 Plan van Aanpak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 (deliverable)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 ↔ KPI-00 (risicoreductie meetbaar) ↔ R-01..R-07 ↔ E-14. Centraal register (R-ID, oorzaak, maatregel, eigenaar, target-datum); maandelijkse update en 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B14 Risicodossier (XLSX/PDF)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 (deliverable)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 ↔ KPI-01..KPI-12 ↔ R-01..R-06 ↔ E-15. Definitie, meetmethode, norm, meetfrequentie en rapportageformat voor alle SLA/KPI’s; baseline bij start.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B15 KPI-overzicht (PDF)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Oplostijd P1-incidenten: &lt;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 ↔ KPI-03 (&lt;4 uur) ↔ R-02 ↔ E-04/E-09. Major Incident-proces met technische en management-escalatie; knowledge base en swarming om doorlooptijd te verkorten. PDCA: PIR en actieopvolging.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 SLA-rapportage; B9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PDCA en kruisverbanden (samenvatting)</w:t>
      </w:r>
    </w:p>
    <w:p>
      <w:pPr>
        <w:numPr>
          <w:ilvl w:val="0"/>
          <w:numId w:val="1"/>
        </w:numPr>
        <w:spacing w:lineRule="auto"/>
      </w:pPr>
      <w:r>
        <w:rPr/>
        <w:t xml:space="preserve">Plan: ISO-geborgde processen (E-01/E-02), PvA (E-13), ITIL-processen (E-07), BCP/DRP (E-10), KPI-overzicht (E-15).</w:t>
      </w:r>
    </w:p>
    <w:p>
      <w:pPr>
        <w:numPr>
          <w:ilvl w:val="0"/>
          <w:numId w:val="1"/>
        </w:numPr>
        <w:spacing w:lineRule="auto"/>
      </w:pPr>
      <w:r>
        <w:rPr/>
        <w:t xml:space="preserve">Do: 24/7 dienst (E-03), monitoring en patching (E-05/E-06), M365-beheer (E-11), escalaties (E-09).</w:t>
      </w:r>
    </w:p>
    <w:p>
      <w:pPr>
        <w:numPr>
          <w:ilvl w:val="0"/>
          <w:numId w:val="1"/>
        </w:numPr>
        <w:spacing w:lineRule="auto"/>
      </w:pPr>
      <w:r>
        <w:rPr/>
        <w:t xml:space="preserve">Check: SLA-rapportages (E-04), audits ISO/BCP (E-01/E-10), EU-datalocatiecontroles (E-08), steekproeven VOG (E-12).</w:t>
      </w:r>
    </w:p>
    <w:p>
      <w:pPr>
        <w:numPr>
          <w:ilvl w:val="0"/>
          <w:numId w:val="1"/>
        </w:numPr>
        <w:spacing w:lineRule="auto"/>
      </w:pPr>
      <w:r>
        <w:rPr/>
        <w:t xml:space="preserve">Act: PIR’s en verbetermaatregelen (E-09/E-10), CAPA’s vanuit ISO-audits (E-01/E-02), tuning monitoring (E-05).</w:t>
      </w:r>
    </w:p>
    <w:p>
      <w:pPr>
        <w:spacing w:lineRule="auto"/>
      </w:pPr>
      <w:r>
        <w:rPr/>
        <w:t xml:space="preserve">KPI-overzicht (referentie)</w:t>
      </w:r>
    </w:p>
    <w:p>
      <w:pPr>
        <w:numPr>
          <w:ilvl w:val="0"/>
          <w:numId w:val="2"/>
        </w:numPr>
        <w:spacing w:lineRule="auto"/>
      </w:pPr>
      <w:r>
        <w:rPr/>
        <w:t xml:space="preserve">KPI-01 Beschikbaarheid kritieke systemen ≥99,8% p/mnd.</w:t>
      </w:r>
    </w:p>
    <w:p>
      <w:pPr>
        <w:numPr>
          <w:ilvl w:val="0"/>
          <w:numId w:val="2"/>
        </w:numPr>
        <w:spacing w:lineRule="auto"/>
      </w:pPr>
      <w:r>
        <w:rPr/>
        <w:t xml:space="preserve">KPI-02 Responstijd P1 &lt;30 min.</w:t>
      </w:r>
    </w:p>
    <w:p>
      <w:pPr>
        <w:numPr>
          <w:ilvl w:val="0"/>
          <w:numId w:val="2"/>
        </w:numPr>
        <w:spacing w:lineRule="auto"/>
      </w:pPr>
      <w:r>
        <w:rPr/>
        <w:t xml:space="preserve">KPI-03 Oplostijd P1 &lt;4 uur.</w:t>
      </w:r>
    </w:p>
    <w:p>
      <w:pPr>
        <w:numPr>
          <w:ilvl w:val="0"/>
          <w:numId w:val="2"/>
        </w:numPr>
        <w:spacing w:lineRule="auto"/>
      </w:pPr>
      <w:r>
        <w:rPr/>
        <w:t xml:space="preserve">KPI-04 Patchcompliance: ≥95% kritieke patches ≤14 dagen; 100% ≤30 dagen.</w:t>
      </w:r>
    </w:p>
    <w:p>
      <w:pPr>
        <w:numPr>
          <w:ilvl w:val="0"/>
          <w:numId w:val="2"/>
        </w:numPr>
        <w:spacing w:lineRule="auto"/>
      </w:pPr>
      <w:r>
        <w:rPr/>
        <w:t xml:space="preserve">KPI-05 EU dataresidency: 100%.</w:t>
      </w:r>
    </w:p>
    <w:p>
      <w:pPr>
        <w:numPr>
          <w:ilvl w:val="0"/>
          <w:numId w:val="2"/>
        </w:numPr>
        <w:spacing w:lineRule="auto"/>
      </w:pPr>
      <w:r>
        <w:rPr/>
        <w:t xml:space="preserve">KPI-06 Monitoring coverage: 100% kritieke assets 24/7.</w:t>
      </w:r>
    </w:p>
    <w:p>
      <w:pPr>
        <w:numPr>
          <w:ilvl w:val="0"/>
          <w:numId w:val="2"/>
        </w:numPr>
        <w:spacing w:lineRule="auto"/>
      </w:pPr>
      <w:r>
        <w:rPr/>
        <w:t xml:space="preserve">KPI-09 SLA-naleving alle prioriteiten: ≥95%.</w:t>
      </w:r>
    </w:p>
    <w:p>
      <w:pPr>
        <w:numPr>
          <w:ilvl w:val="0"/>
          <w:numId w:val="2"/>
        </w:numPr>
        <w:spacing w:lineRule="auto"/>
      </w:pPr>
      <w:r>
        <w:rPr/>
        <w:t xml:space="preserve">KPI-10 Jaarlijkse BCP-test: uitgevoerd en beoordeeld.</w:t>
      </w:r>
    </w:p>
    <w:p>
      <w:pPr>
        <w:numPr>
          <w:ilvl w:val="0"/>
          <w:numId w:val="2"/>
        </w:numPr>
        <w:spacing w:lineRule="auto"/>
      </w:pPr>
      <w:r>
        <w:rPr/>
        <w:t xml:space="preserve">KPI-11 VOG-compliance (waar vereist): 100%.</w:t>
      </w:r>
    </w:p>
    <w:p>
      <w:pPr>
        <w:numPr>
          <w:ilvl w:val="0"/>
          <w:numId w:val="2"/>
        </w:numPr>
        <w:spacing w:lineRule="auto"/>
      </w:pPr>
      <w:r>
        <w:rPr/>
        <w:t xml:space="preserve">KPI-12 M365 change-impact: 0 P1-storingen door geplande changes.</w:t>
      </w:r>
    </w:p>
    <w:p>
      <w:pPr>
        <w:spacing w:lineRule="auto"/>
      </w:pPr>
      <w:r>
        <w:rPr/>
        <w:t xml:space="preserve">Risico-overzicht (referentie)</w:t>
      </w:r>
    </w:p>
    <w:p>
      <w:pPr>
        <w:numPr>
          <w:ilvl w:val="0"/>
          <w:numId w:val="3"/>
        </w:numPr>
        <w:spacing w:lineRule="auto"/>
      </w:pPr>
      <w:r>
        <w:rPr/>
        <w:t xml:space="preserve">R-01 Onvoldoende beschikbaarheid door storingen/onderhoud.</w:t>
      </w:r>
    </w:p>
    <w:p>
      <w:pPr>
        <w:numPr>
          <w:ilvl w:val="0"/>
          <w:numId w:val="3"/>
        </w:numPr>
        <w:spacing w:lineRule="auto"/>
      </w:pPr>
      <w:r>
        <w:rPr/>
        <w:t xml:space="preserve">R-02 Te late respons/oplossing bij P1-incidenten.</w:t>
      </w:r>
    </w:p>
    <w:p>
      <w:pPr>
        <w:numPr>
          <w:ilvl w:val="0"/>
          <w:numId w:val="3"/>
        </w:numPr>
        <w:spacing w:lineRule="auto"/>
      </w:pPr>
      <w:r>
        <w:rPr/>
        <w:t xml:space="preserve">R-03 Onvoldoende patching/kwetsbaarheden.</w:t>
      </w:r>
    </w:p>
    <w:p>
      <w:pPr>
        <w:numPr>
          <w:ilvl w:val="0"/>
          <w:numId w:val="3"/>
        </w:numPr>
        <w:spacing w:lineRule="auto"/>
      </w:pPr>
      <w:r>
        <w:rPr/>
        <w:t xml:space="preserve">R-04 Data buiten EU verwerkt.</w:t>
      </w:r>
    </w:p>
    <w:p>
      <w:pPr>
        <w:numPr>
          <w:ilvl w:val="0"/>
          <w:numId w:val="3"/>
        </w:numPr>
        <w:spacing w:lineRule="auto"/>
      </w:pPr>
      <w:r>
        <w:rPr/>
        <w:t xml:space="preserve">R-05 Onjuiste/late escalaties en communicatie.</w:t>
      </w:r>
    </w:p>
    <w:p>
      <w:pPr>
        <w:numPr>
          <w:ilvl w:val="0"/>
          <w:numId w:val="3"/>
        </w:numPr>
        <w:spacing w:lineRule="auto"/>
      </w:pPr>
      <w:r>
        <w:rPr/>
        <w:t xml:space="preserve">R-06 Onvoldoende continuïteit leverancier/keten.</w:t>
      </w:r>
    </w:p>
    <w:p>
      <w:pPr>
        <w:numPr>
          <w:ilvl w:val="0"/>
          <w:numId w:val="3"/>
        </w:numPr>
        <w:spacing w:lineRule="auto"/>
      </w:pPr>
      <w:r>
        <w:rPr/>
        <w:t xml:space="preserve">R-07 VOG ontbreekt voor functies met verhoogd risico.</w:t>
      </w:r>
    </w:p>
    <w:p>
      <w:pPr>
        <w:numPr>
          <w:ilvl w:val="0"/>
          <w:numId w:val="3"/>
        </w:numPr>
        <w:spacing w:lineRule="auto"/>
      </w:pPr>
      <w:r>
        <w:rPr/>
        <w:t xml:space="preserve">R-08 Uitsluiting bij aanbesteding door onvolledig UEA.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4"/>
        </w:numPr>
        <w:spacing w:lineRule="auto"/>
      </w:pPr>
      <w:r>
        <w:rPr/>
        <w:t xml:space="preserve">A1 UEA ondertekend (PDF) met bedrijfsgegevens (KvK, BTW) en verklaringen.</w:t>
      </w:r>
    </w:p>
    <w:p>
      <w:pPr>
        <w:numPr>
          <w:ilvl w:val="0"/>
          <w:numId w:val="4"/>
        </w:numPr>
        <w:spacing w:lineRule="auto"/>
      </w:pPr>
      <w:r>
        <w:rPr/>
        <w:t xml:space="preserve">B1 ISO 27001 certificaat (PDF).</w:t>
      </w:r>
    </w:p>
    <w:p>
      <w:pPr>
        <w:numPr>
          <w:ilvl w:val="0"/>
          <w:numId w:val="4"/>
        </w:numPr>
        <w:spacing w:lineRule="auto"/>
      </w:pPr>
      <w:r>
        <w:rPr/>
        <w:t xml:space="preserve">B2 ISO 9001 certificaat (PDF).</w:t>
      </w:r>
    </w:p>
    <w:p>
      <w:pPr>
        <w:numPr>
          <w:ilvl w:val="0"/>
          <w:numId w:val="4"/>
        </w:numPr>
        <w:spacing w:lineRule="auto"/>
      </w:pPr>
      <w:r>
        <w:rPr/>
        <w:t xml:space="preserve">B3 24/7 bereikbaarheidsprotocol en actuele roosters (PDF).</w:t>
      </w:r>
    </w:p>
    <w:p>
      <w:pPr>
        <w:numPr>
          <w:ilvl w:val="0"/>
          <w:numId w:val="4"/>
        </w:numPr>
        <w:spacing w:lineRule="auto"/>
      </w:pPr>
      <w:r>
        <w:rPr/>
        <w:t xml:space="preserve">B4 SLA-rapportagesjabloon en recent voorbeeldrapport (PDF).</w:t>
      </w:r>
    </w:p>
    <w:p>
      <w:pPr>
        <w:numPr>
          <w:ilvl w:val="0"/>
          <w:numId w:val="4"/>
        </w:numPr>
        <w:spacing w:lineRule="auto"/>
      </w:pPr>
      <w:r>
        <w:rPr/>
        <w:t xml:space="preserve">B5 Monitoring-scope (assetlijst, meetpunten, drempels) (PDF).</w:t>
      </w:r>
    </w:p>
    <w:p>
      <w:pPr>
        <w:numPr>
          <w:ilvl w:val="0"/>
          <w:numId w:val="4"/>
        </w:numPr>
        <w:spacing w:lineRule="auto"/>
      </w:pPr>
      <w:r>
        <w:rPr/>
        <w:t xml:space="preserve">B6 Patchmanagementprocedure en compliance-rapportage (PDF).</w:t>
      </w:r>
    </w:p>
    <w:p>
      <w:pPr>
        <w:numPr>
          <w:ilvl w:val="0"/>
          <w:numId w:val="4"/>
        </w:numPr>
        <w:spacing w:lineRule="auto"/>
      </w:pPr>
      <w:r>
        <w:rPr/>
        <w:t xml:space="preserve">B7 ITIL-procesbeschrijvingen en RACI (PDF).</w:t>
      </w:r>
    </w:p>
    <w:p>
      <w:pPr>
        <w:numPr>
          <w:ilvl w:val="0"/>
          <w:numId w:val="4"/>
        </w:numPr>
        <w:spacing w:lineRule="auto"/>
      </w:pPr>
      <w:r>
        <w:rPr/>
        <w:t xml:space="preserve">B8 Verwerkersregister, DPA’s en datalocatieoverzicht (PDF).</w:t>
      </w:r>
    </w:p>
    <w:p>
      <w:pPr>
        <w:numPr>
          <w:ilvl w:val="0"/>
          <w:numId w:val="4"/>
        </w:numPr>
        <w:spacing w:lineRule="auto"/>
      </w:pPr>
      <w:r>
        <w:rPr/>
        <w:t xml:space="preserve">B9 Escalatieprocedure en contact-/escalatiematrix (PDF).</w:t>
      </w:r>
    </w:p>
    <w:p>
      <w:pPr>
        <w:numPr>
          <w:ilvl w:val="0"/>
          <w:numId w:val="4"/>
        </w:numPr>
        <w:spacing w:lineRule="auto"/>
      </w:pPr>
      <w:r>
        <w:rPr/>
        <w:t xml:space="preserve">B10 BCP/DRP documenten en laatste testverslag (PDF).</w:t>
      </w:r>
    </w:p>
    <w:p>
      <w:pPr>
        <w:numPr>
          <w:ilvl w:val="0"/>
          <w:numId w:val="4"/>
        </w:numPr>
        <w:spacing w:lineRule="auto"/>
      </w:pPr>
      <w:r>
        <w:rPr/>
        <w:t xml:space="preserve">B11 Microsoft 365 beheerplan en competentie-/certificatenoverzicht engineers (PDF).</w:t>
      </w:r>
    </w:p>
    <w:p>
      <w:pPr>
        <w:numPr>
          <w:ilvl w:val="0"/>
          <w:numId w:val="4"/>
        </w:numPr>
        <w:spacing w:lineRule="auto"/>
      </w:pPr>
      <w:r>
        <w:rPr/>
        <w:t xml:space="preserve">B12 VOG-procesbeschrijving en geanonimiseerde voorbeeldverklaring (PDF).</w:t>
      </w:r>
    </w:p>
    <w:p>
      <w:pPr>
        <w:numPr>
          <w:ilvl w:val="0"/>
          <w:numId w:val="4"/>
        </w:numPr>
        <w:spacing w:lineRule="auto"/>
      </w:pPr>
      <w:r>
        <w:rPr/>
        <w:t xml:space="preserve">B13 Plan van Aanpak (PDF).</w:t>
      </w:r>
    </w:p>
    <w:p>
      <w:pPr>
        <w:numPr>
          <w:ilvl w:val="0"/>
          <w:numId w:val="4"/>
        </w:numPr>
        <w:spacing w:lineRule="auto"/>
      </w:pPr>
      <w:r>
        <w:rPr/>
        <w:t xml:space="preserve">B14 Risicodossier (XLSX/PDF).</w:t>
      </w:r>
    </w:p>
    <w:p>
      <w:pPr>
        <w:numPr>
          <w:ilvl w:val="0"/>
          <w:numId w:val="4"/>
        </w:numPr>
        <w:spacing w:lineRule="auto"/>
      </w:pPr>
      <w:r>
        <w:rPr/>
        <w:t xml:space="preserve">B15 KPI-overzicht (PDF).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