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KPI / SLA Dashboard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19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KPI/SLA-dashboard – Raamovereenkomst ICT-beheer t.b.v. Gemeente Middenstad (Project 1380)</w:t>
      </w:r>
    </w:p>
    <w:p>
      <w:pPr>
        <w:spacing w:lineRule="auto"/>
      </w:pPr>
      <w:r>
        <w:rPr/>
        <w:t xml:space="preserve">Doel en scope Dit KPI/SLA-dashboard borgt prestaties voor beheer, onderhoud, beveiliging en continuïteit van cloud- en infrastructuuroplossingen en Microsoft 365. Het dekt 24/7 incidentafhandeling, proactieve monitoring, EU-dataverwerking, ITIL-servicedesk en continuïteitsbeheer. Het document is PDCA-conform, SMART ingericht en kruist W-xx-eisen met KPI, risico en bewijs.</w:t>
      </w:r>
    </w:p>
    <w:p>
      <w:pPr>
        <w:spacing w:lineRule="auto"/>
      </w:pPr>
      <w:r>
        <w:rPr/>
        <w:t xml:space="preserve">Definitie W-xx (verwijzingen naar aanbestedingseisen en deliverables)</w:t>
      </w:r>
    </w:p>
    <w:p>
      <w:pPr>
        <w:numPr>
          <w:ilvl w:val="0"/>
          <w:numId w:val="1"/>
        </w:numPr>
        <w:spacing w:lineRule="auto"/>
      </w:pPr>
      <w:r>
        <w:rPr/>
        <w:t xml:space="preserve">W-01: KO ISO 27001 gecertificeerd</w:t>
      </w:r>
    </w:p>
    <w:p>
      <w:pPr>
        <w:numPr>
          <w:ilvl w:val="0"/>
          <w:numId w:val="1"/>
        </w:numPr>
        <w:spacing w:lineRule="auto"/>
      </w:pPr>
      <w:r>
        <w:rPr/>
        <w:t xml:space="preserve">W-02: KO ISO 9001 gecertificeerd</w:t>
      </w:r>
    </w:p>
    <w:p>
      <w:pPr>
        <w:numPr>
          <w:ilvl w:val="0"/>
          <w:numId w:val="1"/>
        </w:numPr>
        <w:spacing w:lineRule="auto"/>
      </w:pPr>
      <w:r>
        <w:rPr/>
        <w:t xml:space="preserve">W-03: KO 24/7 bereikbaarheidsdienst</w:t>
      </w:r>
    </w:p>
    <w:p>
      <w:pPr>
        <w:numPr>
          <w:ilvl w:val="0"/>
          <w:numId w:val="1"/>
        </w:numPr>
        <w:spacing w:lineRule="auto"/>
      </w:pPr>
      <w:r>
        <w:rPr/>
        <w:t xml:space="preserve">W-04: Must P1 responstijd ≤ 30 minuten</w:t>
      </w:r>
    </w:p>
    <w:p>
      <w:pPr>
        <w:numPr>
          <w:ilvl w:val="0"/>
          <w:numId w:val="1"/>
        </w:numPr>
        <w:spacing w:lineRule="auto"/>
      </w:pPr>
      <w:r>
        <w:rPr/>
        <w:t xml:space="preserve">W-05: Must beschikbaarheid ≥ 99,8%/maand</w:t>
      </w:r>
    </w:p>
    <w:p>
      <w:pPr>
        <w:numPr>
          <w:ilvl w:val="0"/>
          <w:numId w:val="1"/>
        </w:numPr>
        <w:spacing w:lineRule="auto"/>
      </w:pPr>
      <w:r>
        <w:rPr/>
        <w:t xml:space="preserve">W-06: Must monitoring &amp; patchmanagement geborgd</w:t>
      </w:r>
    </w:p>
    <w:p>
      <w:pPr>
        <w:numPr>
          <w:ilvl w:val="0"/>
          <w:numId w:val="1"/>
        </w:numPr>
        <w:spacing w:lineRule="auto"/>
      </w:pPr>
      <w:r>
        <w:rPr/>
        <w:t xml:space="preserve">W-07: Must ITIL-gebaseerde servicedeskprocessen</w:t>
      </w:r>
    </w:p>
    <w:p>
      <w:pPr>
        <w:numPr>
          <w:ilvl w:val="0"/>
          <w:numId w:val="1"/>
        </w:numPr>
        <w:spacing w:lineRule="auto"/>
      </w:pPr>
      <w:r>
        <w:rPr/>
        <w:t xml:space="preserve">W-08: Must alle data binnen EU verwerkt</w:t>
      </w:r>
    </w:p>
    <w:p>
      <w:pPr>
        <w:numPr>
          <w:ilvl w:val="0"/>
          <w:numId w:val="1"/>
        </w:numPr>
        <w:spacing w:lineRule="auto"/>
      </w:pPr>
      <w:r>
        <w:rPr/>
        <w:t xml:space="preserve">W-09: Must escalatieprocedure incidenten &amp; changes</w:t>
      </w:r>
    </w:p>
    <w:p>
      <w:pPr>
        <w:numPr>
          <w:ilvl w:val="0"/>
          <w:numId w:val="1"/>
        </w:numPr>
        <w:spacing w:lineRule="auto"/>
      </w:pPr>
      <w:r>
        <w:rPr/>
        <w:t xml:space="preserve">W-10: Must continuïteitsplan (BCP) beschikbaar</w:t>
      </w:r>
    </w:p>
    <w:p>
      <w:pPr>
        <w:numPr>
          <w:ilvl w:val="0"/>
          <w:numId w:val="1"/>
        </w:numPr>
        <w:spacing w:lineRule="auto"/>
      </w:pPr>
      <w:r>
        <w:rPr/>
        <w:t xml:space="preserve">W-11: Must VOG indien vereist</w:t>
      </w:r>
    </w:p>
    <w:p>
      <w:pPr>
        <w:numPr>
          <w:ilvl w:val="0"/>
          <w:numId w:val="1"/>
        </w:numPr>
        <w:spacing w:lineRule="auto"/>
      </w:pPr>
      <w:r>
        <w:rPr/>
        <w:t xml:space="preserve">W-12: Must proactieve monitoring netwerk &amp; endpoints</w:t>
      </w:r>
    </w:p>
    <w:p>
      <w:pPr>
        <w:numPr>
          <w:ilvl w:val="0"/>
          <w:numId w:val="1"/>
        </w:numPr>
        <w:spacing w:lineRule="auto"/>
      </w:pPr>
      <w:r>
        <w:rPr/>
        <w:t xml:space="preserve">W-13: Must ondersteuning Microsoft 365</w:t>
      </w:r>
    </w:p>
    <w:p>
      <w:pPr>
        <w:numPr>
          <w:ilvl w:val="0"/>
          <w:numId w:val="1"/>
        </w:numPr>
        <w:spacing w:lineRule="auto"/>
      </w:pPr>
      <w:r>
        <w:rPr/>
        <w:t xml:space="preserve">W-14: Deliverable Plan van Aanpak</w:t>
      </w:r>
    </w:p>
    <w:p>
      <w:pPr>
        <w:numPr>
          <w:ilvl w:val="0"/>
          <w:numId w:val="1"/>
        </w:numPr>
        <w:spacing w:lineRule="auto"/>
      </w:pPr>
      <w:r>
        <w:rPr/>
        <w:t xml:space="preserve">W-15: Deliverable Risicodossier</w:t>
      </w:r>
    </w:p>
    <w:p>
      <w:pPr>
        <w:numPr>
          <w:ilvl w:val="0"/>
          <w:numId w:val="1"/>
        </w:numPr>
        <w:spacing w:lineRule="auto"/>
      </w:pPr>
      <w:r>
        <w:rPr/>
        <w:t xml:space="preserve">W-16: Deliverable KPI-overzicht</w:t>
      </w:r>
    </w:p>
    <w:p>
      <w:pPr>
        <w:spacing w:lineRule="auto"/>
      </w:pPr>
      <w:r>
        <w:rPr/>
        <w:t xml:space="preserve">PDCA-sturingskader</w:t>
      </w:r>
    </w:p>
    <w:p>
      <w:pPr>
        <w:numPr>
          <w:ilvl w:val="0"/>
          <w:numId w:val="2"/>
        </w:numPr>
        <w:spacing w:lineRule="auto"/>
      </w:pPr>
      <w:r>
        <w:rPr/>
        <w:t xml:space="preserve">Plan</w:t>
      </w:r>
    </w:p>
    <w:p>
      <w:pPr>
        <w:numPr>
          <w:ilvl w:val="1"/>
          <w:numId w:val="3"/>
        </w:numPr>
        <w:spacing w:lineRule="auto"/>
      </w:pPr>
      <w:r>
        <w:rPr/>
        <w:t xml:space="preserve">Service Blueprint (W-14): scope, CMDB-structuur, kritieke ketens, P1/P2-definities, onderhoudsvensters, escalatiepaden en RACI (Uno SDM ↔ Gemeente contractmanager). Oplevering binnen 20 werkdagen na start.</w:t>
      </w:r>
    </w:p>
    <w:p>
      <w:pPr>
        <w:numPr>
          <w:ilvl w:val="1"/>
          <w:numId w:val="3"/>
        </w:numPr>
        <w:spacing w:lineRule="auto"/>
      </w:pPr>
      <w:r>
        <w:rPr/>
        <w:t xml:space="preserve">Risicodossier (W-15): top-20 risico’s met eigenaar, kans/impact, beheersmaatregelen, KPI-koppeling en bewijs. Eerste versie binnen 20 werkdagen, kwartaalupdate.</w:t>
      </w:r>
    </w:p>
    <w:p>
      <w:pPr>
        <w:numPr>
          <w:ilvl w:val="0"/>
          <w:numId w:val="2"/>
        </w:numPr>
        <w:spacing w:lineRule="auto"/>
      </w:pPr>
      <w:r>
        <w:rPr/>
        <w:t xml:space="preserve">Do</w:t>
      </w:r>
    </w:p>
    <w:p>
      <w:pPr>
        <w:numPr>
          <w:ilvl w:val="1"/>
          <w:numId w:val="4"/>
        </w:numPr>
        <w:spacing w:lineRule="auto"/>
      </w:pPr>
      <w:r>
        <w:rPr/>
        <w:t xml:space="preserve">24/7 monitoring en incidentrespons (W-03, W-06, W-12).</w:t>
      </w:r>
    </w:p>
    <w:p>
      <w:pPr>
        <w:numPr>
          <w:ilvl w:val="1"/>
          <w:numId w:val="4"/>
        </w:numPr>
        <w:spacing w:lineRule="auto"/>
      </w:pPr>
      <w:r>
        <w:rPr/>
        <w:t xml:space="preserve">ITIL-processen voor Incident, Request, Change, Problem en Knowledge (W-07).</w:t>
      </w:r>
    </w:p>
    <w:p>
      <w:pPr>
        <w:numPr>
          <w:ilvl w:val="1"/>
          <w:numId w:val="4"/>
        </w:numPr>
        <w:spacing w:lineRule="auto"/>
      </w:pPr>
      <w:r>
        <w:rPr/>
        <w:t xml:space="preserve">Maandelijkse patchrondes, kwetsbaarhedenscans, back-up en restore-tests (W-06).</w:t>
      </w:r>
    </w:p>
    <w:p>
      <w:pPr>
        <w:numPr>
          <w:ilvl w:val="1"/>
          <w:numId w:val="4"/>
        </w:numPr>
        <w:spacing w:lineRule="auto"/>
      </w:pPr>
      <w:r>
        <w:rPr/>
        <w:t xml:space="preserve">Microsoft 365 beheer en security-baselines (W-13).</w:t>
      </w:r>
    </w:p>
    <w:p>
      <w:pPr>
        <w:numPr>
          <w:ilvl w:val="0"/>
          <w:numId w:val="2"/>
        </w:numPr>
        <w:spacing w:lineRule="auto"/>
      </w:pPr>
      <w:r>
        <w:rPr/>
        <w:t xml:space="preserve">Check</w:t>
      </w:r>
    </w:p>
    <w:p>
      <w:pPr>
        <w:numPr>
          <w:ilvl w:val="1"/>
          <w:numId w:val="5"/>
        </w:numPr>
        <w:spacing w:lineRule="auto"/>
      </w:pPr>
      <w:r>
        <w:rPr/>
        <w:t xml:space="preserve">Dagelijkse operationele checks; wekelijkse trendanalyse; maandelijkse SLA-rapportage (uiterlijk werkdag 5); kwartaal-QBR met verbeterplan en risicoherijking.</w:t>
      </w:r>
    </w:p>
    <w:p>
      <w:pPr>
        <w:numPr>
          <w:ilvl w:val="1"/>
          <w:numId w:val="5"/>
        </w:numPr>
        <w:spacing w:lineRule="auto"/>
      </w:pPr>
      <w:r>
        <w:rPr/>
        <w:t xml:space="preserve">Audits: ISO 27001/9001 en EU-dataverwerking (W-01, W-02, W-08).</w:t>
      </w:r>
    </w:p>
    <w:p>
      <w:pPr>
        <w:numPr>
          <w:ilvl w:val="0"/>
          <w:numId w:val="2"/>
        </w:numPr>
        <w:spacing w:lineRule="auto"/>
      </w:pPr>
      <w:r>
        <w:rPr/>
        <w:t xml:space="preserve">Act</w:t>
      </w:r>
    </w:p>
    <w:p>
      <w:pPr>
        <w:numPr>
          <w:ilvl w:val="1"/>
          <w:numId w:val="6"/>
        </w:numPr>
        <w:spacing w:lineRule="auto"/>
      </w:pPr>
      <w:r>
        <w:rPr/>
        <w:t xml:space="preserve">RCA met 5xWhy/Fishbone binnen 5 werkdagen na P1; probleemtickets met structurele maatregelen (change backlog).</w:t>
      </w:r>
    </w:p>
    <w:p>
      <w:pPr>
        <w:numPr>
          <w:ilvl w:val="1"/>
          <w:numId w:val="6"/>
        </w:numPr>
        <w:spacing w:lineRule="auto"/>
      </w:pPr>
      <w:r>
        <w:rPr/>
        <w:t xml:space="preserve">Continual Improvement Register (CIR) met prioritering MoSCoW, realisatie via CAB (W-09).</w:t>
      </w:r>
    </w:p>
    <w:p>
      <w:pPr>
        <w:spacing w:lineRule="auto"/>
      </w:pPr>
      <w:r>
        <w:rPr/>
        <w:t xml:space="preserve">KPI/SLA-tabel KPI/SLA | Target | Meetmethode | Frequentie | Escalatie | Verantwoordelijke | Link W-xx/criterium</w:t>
      </w:r>
    </w:p>
    <w:p>
      <w:pPr>
        <w:numPr>
          <w:ilvl w:val="0"/>
          <w:numId w:val="7"/>
        </w:numPr>
        <w:spacing w:lineRule="auto"/>
      </w:pPr>
      <w:r>
        <w:rPr/>
        <w:t xml:space="preserve">Beschikbaarheid kritieke systemen | ≥ 99,8% per kalendermaand; gepland onderhoud uitgesloten (max. 4u/maand, 2 werkdagen vooraf aangekondigd) | Uptime-metingen via monitoringplatform; berekening per dienst en gewogen totaal | 24/7 monitoren; maandelijks rapport | Bij downtime &gt; 60 min in lopende maand: P1 + escalatie naar Incident Manager (15 min), SDM (30 min), klant-Contractmanager (60 min) | Uno Technisch Lead; SDM | W-05, W-06, W-12; EMVI: Kwaliteit, Risicobeheersing</w:t>
      </w:r>
    </w:p>
    <w:p>
      <w:pPr>
        <w:numPr>
          <w:ilvl w:val="0"/>
          <w:numId w:val="7"/>
        </w:numPr>
        <w:spacing w:lineRule="auto"/>
      </w:pPr>
      <w:r>
        <w:rPr/>
        <w:t xml:space="preserve">Responstijd P1-incidenten (24/7) | ≤ 30 min vanaf melding tot eerste contact en triage | ITSM-tijdstempels; call-opname | Per P1; wekelijks steekproef | &gt; 20 min: Incident Manager; &gt; 30 min: SDM + klant-Contractmanager; recurrent (≥2/mnd): CAP in QBR | Incident Manager | W-03, W-04, W-07, W-09; EMVI: Kwaliteit</w:t>
      </w:r>
    </w:p>
    <w:p>
      <w:pPr>
        <w:numPr>
          <w:ilvl w:val="0"/>
          <w:numId w:val="7"/>
        </w:numPr>
        <w:spacing w:lineRule="auto"/>
      </w:pPr>
      <w:r>
        <w:rPr/>
        <w:t xml:space="preserve">Oplostijd P1-incidenten | ≤ 4 uur tot serviceherstel (workaround toegestaan) | ITSM, herstel-tijd, klantbevestiging | Per P1; maandelijks | &gt; 2 uur: War-room + leveranciers; &gt; 3 uur: MT-escalatie; &gt; 4 uur: formele major incident review binnen 2 werkdagen | Incident Manager; Problem Manager | W-07, W-09, W-10; EMVI: Risicobeheersing</w:t>
      </w:r>
    </w:p>
    <w:p>
      <w:pPr>
        <w:numPr>
          <w:ilvl w:val="0"/>
          <w:numId w:val="7"/>
        </w:numPr>
        <w:spacing w:lineRule="auto"/>
      </w:pPr>
      <w:r>
        <w:rPr/>
        <w:t xml:space="preserve">Responstijd P2-incidenten (kantoortijd) | ≤ 4 uur (ma–vr 08:00–18:00 CET) | ITSM-tijdstempels | Per P2; maandelijks | &gt; 3 uur: SDM; overschrijding: rapport + verbeteractie | Servicedesk Lead | W-07, W-09; EMVI: Kwaliteit</w:t>
      </w:r>
    </w:p>
    <w:p>
      <w:pPr>
        <w:numPr>
          <w:ilvl w:val="0"/>
          <w:numId w:val="7"/>
        </w:numPr>
        <w:spacing w:lineRule="auto"/>
      </w:pPr>
      <w:r>
        <w:rPr/>
        <w:t xml:space="preserve">Oplostijd P2-incidenten | ≤ 2 werkdagen | ITSM doorlooptijd | Per P2; maandelijks | Dag 1 reminder; dag 2 SDM; dag 3 CAB-prioritering | Problem Manager | W-07; EMVI: Kwaliteit</w:t>
      </w:r>
    </w:p>
    <w:p>
      <w:pPr>
        <w:numPr>
          <w:ilvl w:val="0"/>
          <w:numId w:val="7"/>
        </w:numPr>
        <w:spacing w:lineRule="auto"/>
      </w:pPr>
      <w:r>
        <w:rPr/>
        <w:t xml:space="preserve">Patch compliance endpoints/servers | Kritiek: ≥ 95% binnen 7 dagen; Hoog: ≥ 95% binnen 14 dagen; Overig OS/firmware: ≥ 95% binnen 30 dagen | Patchmanagement-rapportages; agent compliance | Wekelijks; maandelijks rapport | &lt; target 2 weken op rij: Change naar versnelde patch; 4 weken: SDM + klant | Technical Lead Security | W-06, W-12; EMVI: Risicobeheersing</w:t>
      </w:r>
    </w:p>
    <w:p>
      <w:pPr>
        <w:numPr>
          <w:ilvl w:val="0"/>
          <w:numId w:val="7"/>
        </w:numPr>
        <w:spacing w:lineRule="auto"/>
      </w:pPr>
      <w:r>
        <w:rPr/>
        <w:t xml:space="preserve">Back-up succes en herstel | Back-up jobs succesvol ≥ 99% per week; restore test 1x/maand per dienst; RPO ≤ 24u; RTO ≤ 4u (kritiek) | Backupconsole; restore-tests met testrapport | Dagelijks; maandelijks test | 2 opeenvolgende failures: SDM; restore test fail: binnen 5 werkdagen hertest + RCA | Backup Owner | W-10; EMVI: Risicobeheersing</w:t>
      </w:r>
    </w:p>
    <w:p>
      <w:pPr>
        <w:numPr>
          <w:ilvl w:val="0"/>
          <w:numId w:val="7"/>
        </w:numPr>
        <w:spacing w:lineRule="auto"/>
      </w:pPr>
      <w:r>
        <w:rPr/>
        <w:t xml:space="preserve">Security incident TTD/MTTC | TTD ≤ 15 min; MTTC ≤ 60 min (containment) | SIEM/EDR alerts; incidentlog | 24/7; maandelijks | TTD &gt; 15 min of MTTC &gt; 60 min: Security Officer + SDM + klant binnen 2 uur; RCA binnen 5 werkdagen | Security Officer | W-06, W-12; EMVI: Risicobeheersing</w:t>
      </w:r>
    </w:p>
    <w:p>
      <w:pPr>
        <w:numPr>
          <w:ilvl w:val="0"/>
          <w:numId w:val="7"/>
        </w:numPr>
        <w:spacing w:lineRule="auto"/>
      </w:pPr>
      <w:r>
        <w:rPr/>
        <w:t xml:space="preserve">Kwetsbaarheden remediatie | Kritiek (CVSS ≥ 9): ≤ 7 dagen; Hoog (7–8.9): ≤ 30 dagen; Acceptatie via risicowaiver met eigenaar en einddatum | Vulnerability scans; change evidence | Tweewekelijks; maandelijks | Overschrijding: CAB-escalatie; bij herhaling: directie-escalatie | Security Officer; Change Manager | W-06, W-15; EMVI: Risicobeheersing</w:t>
      </w:r>
    </w:p>
    <w:p>
      <w:pPr>
        <w:numPr>
          <w:ilvl w:val="0"/>
          <w:numId w:val="7"/>
        </w:numPr>
        <w:spacing w:lineRule="auto"/>
      </w:pPr>
      <w:r>
        <w:rPr/>
        <w:t xml:space="preserve">EU-dataverwerking compliance | 100% opslag en verwerking binnen EU; 0% datalekken door datalokatie | DPIA/ISO-logs; verwerkersovereenkomsten; locatorapport | Kwartaal; bij wijziging direct | Afwijking: direct stoppen verwerking, DPO-melding, plan herstel binnen 24u | Compliance Officer | W-08, W-01; EMVI: Kwaliteit, Risicobeheersing</w:t>
      </w:r>
    </w:p>
    <w:p>
      <w:pPr>
        <w:numPr>
          <w:ilvl w:val="0"/>
          <w:numId w:val="7"/>
        </w:numPr>
        <w:spacing w:lineRule="auto"/>
      </w:pPr>
      <w:r>
        <w:rPr/>
        <w:t xml:space="preserve">Servicedesk First Contact Resolution | ≥ 70% FCR voor eindgebruikers-incidenten | ITSM-categorie FCR; QA-steekproef | Maandelijks | &lt; 70% gedurende 2 maanden: kennisbank-actie + training; rapport in QBR | Servicedesk Lead | W-07; EMVI: Kwaliteit, Prijs</w:t>
      </w:r>
    </w:p>
    <w:p>
      <w:pPr>
        <w:numPr>
          <w:ilvl w:val="0"/>
          <w:numId w:val="7"/>
        </w:numPr>
        <w:spacing w:lineRule="auto"/>
      </w:pPr>
      <w:r>
        <w:rPr/>
        <w:t xml:space="preserve">Klanttevredenheid (CSAT) | Gemiddeld ≥ 8,2/10; respons ≥ 30% van gesloten tickets | Post-ticket survey; trendanalyse | Doorlopend; maandelijks | &lt; 8,2 of respons &lt; 30%: verbeterplan + 2 weken acties; escalatie SDM → klant | SDM | W-02; EMVI: Kwaliteit</w:t>
      </w:r>
    </w:p>
    <w:p>
      <w:pPr>
        <w:numPr>
          <w:ilvl w:val="0"/>
          <w:numId w:val="7"/>
        </w:numPr>
        <w:spacing w:lineRule="auto"/>
      </w:pPr>
      <w:r>
        <w:rPr/>
        <w:t xml:space="preserve">Change succes en communicatie | Succesrate ≥ 98% (geen rollback); klantimpact changes ≥ 5 werkdagen vooraf aangekondigd; Emergency Change PIR ≤ 2 werkdagen | ITSM-change logs; CAB-notulen | Wekelijks CAB; maandelijks | Succesrate &lt; 98%: CAB herzien; communicatiebreuk: SDM-escalatie | Change Manager | W-09, W-07; EMVI: Kwaliteit, Risicobeheersing</w:t>
      </w:r>
    </w:p>
    <w:p>
      <w:pPr>
        <w:numPr>
          <w:ilvl w:val="0"/>
          <w:numId w:val="7"/>
        </w:numPr>
        <w:spacing w:lineRule="auto"/>
      </w:pPr>
      <w:r>
        <w:rPr/>
        <w:t xml:space="preserve">Monitoring- en EDR-dekking | ≥ 99% assets met actieve monitoring; EDR/AV up-to-date ≥ 98% | CMDB vs agents; EDR-console | Dagelijks; wekelijks | Gap &gt; 1% &gt; 24u: P2; &gt; 3 dagen: SDM-escalatie | Technical Lead Monitoring | W-06, W-12; EMVI: Risicobeheersing</w:t>
      </w:r>
    </w:p>
    <w:p>
      <w:pPr>
        <w:numPr>
          <w:ilvl w:val="0"/>
          <w:numId w:val="7"/>
        </w:numPr>
        <w:spacing w:lineRule="auto"/>
      </w:pPr>
      <w:r>
        <w:rPr/>
        <w:t xml:space="preserve">Microsoft 365 beheer SLA | Standaard provisioning/verwijderen accounts ≤ 1 werkdag; licentiecompliance 100%; herstel mailbox/site ≤ 4u | ITSM; M365 auditlogs; licentie-rapport | Dagelijks; maandelijks | Overschrijding: SDM + M365 Lead; structureel: CAB-automatisering | M365 Lead | W-13; EMVI: Kwaliteit</w:t>
      </w:r>
    </w:p>
    <w:p>
      <w:pPr>
        <w:numPr>
          <w:ilvl w:val="0"/>
          <w:numId w:val="7"/>
        </w:numPr>
        <w:spacing w:lineRule="auto"/>
      </w:pPr>
      <w:r>
        <w:rPr/>
        <w:t xml:space="preserve">BCP/DR-oefening | 1x per jaar integrale test per kritieke dienst; 100% testdoelen gehaald of verbeterplan binnen 10 werkdagen | Testplan, testrapport, RCA | Jaarlijks; QBR review | Testdoel niet gehaald: directie-escalatie en herhaling binnen 30 dagen | SDM; Business Continuity Manager | W-10; EMVI: Risicobeheersing</w:t>
      </w:r>
    </w:p>
    <w:p>
      <w:pPr>
        <w:numPr>
          <w:ilvl w:val="0"/>
          <w:numId w:val="7"/>
        </w:numPr>
        <w:spacing w:lineRule="auto"/>
      </w:pPr>
      <w:r>
        <w:rPr/>
        <w:t xml:space="preserve">VOG- en toegangscompliance | 100% medewerkers on-site met geldige VOG; toegangsmatrix jaarlijks herzien | HR-dossiers; access reviews | Kwartaal | Afwijking: medewerker van site, melding klant, herstel binnen 24u | HR Manager | W-11; EMVI: Risicobeheersing</w:t>
      </w:r>
    </w:p>
    <w:p>
      <w:pPr>
        <w:numPr>
          <w:ilvl w:val="0"/>
          <w:numId w:val="7"/>
        </w:numPr>
        <w:spacing w:lineRule="auto"/>
      </w:pPr>
      <w:r>
        <w:rPr/>
        <w:t xml:space="preserve">Duurzame hosting en operatie | 100% datacenterstroom hernieuwbaar; -10% kWh per VM/jr t.o.v. nulmeting via right-sizing | Energiebewijs/GoO; resource-rapportage | Halfjaar; QBR | Afwijking: plan van aanpak binnen 30 dagen; alternatieve provider-advies | SDM; Sustainability Lead | EMVI: Duurzaamheid</w:t>
      </w:r>
    </w:p>
    <w:p>
      <w:pPr>
        <w:spacing w:lineRule="auto"/>
      </w:pPr>
      <w:r>
        <w:rPr/>
        <w:t xml:space="preserve">Kruismatrix KPI ↔ Risico ↔ Bewijs (selectie)</w:t>
      </w:r>
    </w:p>
    <w:p>
      <w:pPr>
        <w:numPr>
          <w:ilvl w:val="0"/>
          <w:numId w:val="8"/>
        </w:numPr>
        <w:spacing w:lineRule="auto"/>
      </w:pPr>
      <w:r>
        <w:rPr/>
        <w:t xml:space="preserve">KPI 1 (Beschikbaarheid) ↔ Risico: Onbeschikbaarheid primaire dienstverlening ↔ Bewijs: Uptime-rapporten, incidentlogs, onderhoudsberichten ↔ W-05/W-06/W-12.</w:t>
      </w:r>
    </w:p>
    <w:p>
      <w:pPr>
        <w:numPr>
          <w:ilvl w:val="0"/>
          <w:numId w:val="8"/>
        </w:numPr>
        <w:spacing w:lineRule="auto"/>
      </w:pPr>
      <w:r>
        <w:rPr/>
        <w:t xml:space="preserve">KPI 2–5 (Response/Resolutie P1/P2) ↔ Risico: Verlengde verstoringen en reputatieschade ↔ Bewijs: ITSM-exports, war-room notulen ↔ W-03/W-04/W-07/W-09.</w:t>
      </w:r>
    </w:p>
    <w:p>
      <w:pPr>
        <w:numPr>
          <w:ilvl w:val="0"/>
          <w:numId w:val="8"/>
        </w:numPr>
        <w:spacing w:lineRule="auto"/>
      </w:pPr>
      <w:r>
        <w:rPr/>
        <w:t xml:space="preserve">KPI 6 (Patch) ↔ Risico: Exploit van bekende kwetsbaarheden ↔ Bewijs: Patchcompliance-overzichten, CAB-besluiten ↔ W-06/W-12.</w:t>
      </w:r>
    </w:p>
    <w:p>
      <w:pPr>
        <w:numPr>
          <w:ilvl w:val="0"/>
          <w:numId w:val="8"/>
        </w:numPr>
        <w:spacing w:lineRule="auto"/>
      </w:pPr>
      <w:r>
        <w:rPr/>
        <w:t xml:space="preserve">KPI 7 (Back-up/Herstel) ↔ Risico: Dataverlies ↔ Bewijs: Backup- en restore-rapporten, testprotocollen ↔ W-10.</w:t>
      </w:r>
    </w:p>
    <w:p>
      <w:pPr>
        <w:numPr>
          <w:ilvl w:val="0"/>
          <w:numId w:val="8"/>
        </w:numPr>
        <w:spacing w:lineRule="auto"/>
      </w:pPr>
      <w:r>
        <w:rPr/>
        <w:t xml:space="preserve">KPI 8–9 (Security/VA) ↔ Risico: Security-incidenten en datalek ↔ Bewijs: SIEM/EDR-alerts, VA-rapporten, waivers ↔ W-06/W-12/W-01.</w:t>
      </w:r>
    </w:p>
    <w:p>
      <w:pPr>
        <w:numPr>
          <w:ilvl w:val="0"/>
          <w:numId w:val="8"/>
        </w:numPr>
        <w:spacing w:lineRule="auto"/>
      </w:pPr>
      <w:r>
        <w:rPr/>
        <w:t xml:space="preserve">KPI 10 (EU-data) ↔ Risico: Schending AVG en datalocatie-eis ↔ Bewijs: Verwerkersovereenkomsten, datalocator, DPIA ↔ W-08.</w:t>
      </w:r>
    </w:p>
    <w:p>
      <w:pPr>
        <w:numPr>
          <w:ilvl w:val="0"/>
          <w:numId w:val="8"/>
        </w:numPr>
        <w:spacing w:lineRule="auto"/>
      </w:pPr>
      <w:r>
        <w:rPr/>
        <w:t xml:space="preserve">KPI 11–12 (FCR/CSAT) ↔ Risico: Inefficiënte operatie en lage tevredenheid ↔ Bewijs: ITSM KPI exports, surveyresultaten ↔ W-07/W-02.</w:t>
      </w:r>
    </w:p>
    <w:p>
      <w:pPr>
        <w:numPr>
          <w:ilvl w:val="0"/>
          <w:numId w:val="8"/>
        </w:numPr>
        <w:spacing w:lineRule="auto"/>
      </w:pPr>
      <w:r>
        <w:rPr/>
        <w:t xml:space="preserve">KPI 13 (Change) ↔ Risico: Wijzigingsfalen en uitval ↔ Bewijs: Change logs, PIR’s, CAB-notulen ↔ W-09/W-07.</w:t>
      </w:r>
    </w:p>
    <w:p>
      <w:pPr>
        <w:numPr>
          <w:ilvl w:val="0"/>
          <w:numId w:val="8"/>
        </w:numPr>
        <w:spacing w:lineRule="auto"/>
      </w:pPr>
      <w:r>
        <w:rPr/>
        <w:t xml:space="preserve">KPI 14 (Monitoring/EDR) ↔ Risico: Onopgemerkte storingen en malware ↔ Bewijs: Agent health-rapporten, CMDB-exports ↔ W-06/W-12.</w:t>
      </w:r>
    </w:p>
    <w:p>
      <w:pPr>
        <w:numPr>
          <w:ilvl w:val="0"/>
          <w:numId w:val="8"/>
        </w:numPr>
        <w:spacing w:lineRule="auto"/>
      </w:pPr>
      <w:r>
        <w:rPr/>
        <w:t xml:space="preserve">KPI 15 (M365) ↔ Risico: Toegangs- en complianceproblemen ↔ Bewijs: M365 auditlogs, licentie-overzichten ↔ W-13.</w:t>
      </w:r>
    </w:p>
    <w:p>
      <w:pPr>
        <w:numPr>
          <w:ilvl w:val="0"/>
          <w:numId w:val="8"/>
        </w:numPr>
        <w:spacing w:lineRule="auto"/>
      </w:pPr>
      <w:r>
        <w:rPr/>
        <w:t xml:space="preserve">KPI 16 (BCP/DR) ↔ Risico: Onvoldoende herstelvermogen ↔ Bewijs: Testrapporten, RCA’s ↔ W-10.</w:t>
      </w:r>
    </w:p>
    <w:p>
      <w:pPr>
        <w:numPr>
          <w:ilvl w:val="0"/>
          <w:numId w:val="8"/>
        </w:numPr>
        <w:spacing w:lineRule="auto"/>
      </w:pPr>
      <w:r>
        <w:rPr/>
        <w:t xml:space="preserve">KPI 17 (VOG) ↔ Risico: Ongeautoriseerde toegang op locatie ↔ Bewijs: HR/VOG-dossiers, access reviews ↔ W-11.</w:t>
      </w:r>
    </w:p>
    <w:p>
      <w:pPr>
        <w:numPr>
          <w:ilvl w:val="0"/>
          <w:numId w:val="8"/>
        </w:numPr>
        <w:spacing w:lineRule="auto"/>
      </w:pPr>
      <w:r>
        <w:rPr/>
        <w:t xml:space="preserve">KPI 18 (Duurzaamheid) ↔ Risico: Niet behalen duurzaamheidsdoelen ↔ Bewijs: GvO certificaten, energie- en right-sizing rapporten ↔ EMVI: Duurzaamheid.</w:t>
      </w:r>
    </w:p>
    <w:p>
      <w:pPr>
        <w:spacing w:lineRule="auto"/>
      </w:pPr>
      <w:r>
        <w:rPr/>
        <w:t xml:space="preserve">Escalatie- en communicatiekanalen</w:t>
      </w:r>
    </w:p>
    <w:p>
      <w:pPr>
        <w:numPr>
          <w:ilvl w:val="0"/>
          <w:numId w:val="9"/>
        </w:numPr>
        <w:spacing w:lineRule="auto"/>
      </w:pPr>
      <w:r>
        <w:rPr/>
        <w:t xml:space="preserve">P1: Direct telefonisch en via ITSM push naar Incident Manager (binnen 15 min), SDM (binnen 30 min) en Contractmanager Gemeente (binnen 60 min). War-room met leveranciers waar relevant.</w:t>
      </w:r>
    </w:p>
    <w:p>
      <w:pPr>
        <w:numPr>
          <w:ilvl w:val="0"/>
          <w:numId w:val="9"/>
        </w:numPr>
        <w:spacing w:lineRule="auto"/>
      </w:pPr>
      <w:r>
        <w:rPr/>
        <w:t xml:space="preserve">P2: ITSM-notificatie naar Servicedesk Lead; escalatie naar SDM bij dreigende overschrijding.</w:t>
      </w:r>
    </w:p>
    <w:p>
      <w:pPr>
        <w:numPr>
          <w:ilvl w:val="0"/>
          <w:numId w:val="9"/>
        </w:numPr>
        <w:spacing w:lineRule="auto"/>
      </w:pPr>
      <w:r>
        <w:rPr/>
        <w:t xml:space="preserve">Governance: MBR (maandelijks operationeel), QBR (strategisch, inclusief risico’s, verbeteracties, KPI-trends), ad-hoc Security Council bij high/critical kwetsbaarheden.</w:t>
      </w:r>
    </w:p>
    <w:p>
      <w:pPr>
        <w:spacing w:lineRule="auto"/>
      </w:pPr>
      <w:r>
        <w:rPr/>
        <w:t xml:space="preserve">Audit en bewijsvoering</w:t>
      </w:r>
    </w:p>
    <w:p>
      <w:pPr>
        <w:numPr>
          <w:ilvl w:val="0"/>
          <w:numId w:val="10"/>
        </w:numPr>
        <w:spacing w:lineRule="auto"/>
      </w:pPr>
      <w:r>
        <w:rPr/>
        <w:t xml:space="preserve">Alle KPI’s zijn herleidbaar via ITSM-exports (CSV/PDF), monitoring-/SIEM-rapportages, CAB-notulen, back-up/logboeken, M365 auditlogs, HR/VOG-dossiers en verwerkersovereenkomsten. Bewijs wordt minimaal 24 maanden bewaard ten behoeve van audits (ISO 27001/9001) en opdrachtgever-controles.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1"/>
        </w:numPr>
        <w:spacing w:lineRule="auto"/>
      </w:pPr>
      <w:r>
        <w:rPr/>
        <w:t xml:space="preserve">Lijst kritieke systemen/ketens en gewenste weging voor beschikbaarheid.</w:t>
      </w:r>
    </w:p>
    <w:p>
      <w:pPr>
        <w:numPr>
          <w:ilvl w:val="0"/>
          <w:numId w:val="11"/>
        </w:numPr>
        <w:spacing w:lineRule="auto"/>
      </w:pPr>
      <w:r>
        <w:rPr/>
        <w:t xml:space="preserve">Definitie P1/P2/P3 per dienst en gewenste onderhoudsvensters.</w:t>
      </w:r>
    </w:p>
    <w:p>
      <w:pPr>
        <w:numPr>
          <w:ilvl w:val="0"/>
          <w:numId w:val="11"/>
        </w:numPr>
        <w:spacing w:lineRule="auto"/>
      </w:pPr>
      <w:r>
        <w:rPr/>
        <w:t xml:space="preserve">Contact- en escalatielijst (Contractmanager, Technisch aanspreekpunt, Security officer).</w:t>
      </w:r>
    </w:p>
    <w:p>
      <w:pPr>
        <w:numPr>
          <w:ilvl w:val="0"/>
          <w:numId w:val="11"/>
        </w:numPr>
        <w:spacing w:lineRule="auto"/>
      </w:pPr>
      <w:r>
        <w:rPr/>
        <w:t xml:space="preserve">Acceptatie van meetlocaties/metingen (monitoring end-to-end vs. component).</w:t>
      </w:r>
    </w:p>
    <w:p>
      <w:pPr>
        <w:numPr>
          <w:ilvl w:val="0"/>
          <w:numId w:val="11"/>
        </w:numPr>
        <w:spacing w:lineRule="auto"/>
      </w:pPr>
      <w:r>
        <w:rPr/>
        <w:t xml:space="preserve">Overzicht datalocaties/geo-voorkeuren en verwerkers (voor EU-dataverwerking).</w:t>
      </w:r>
    </w:p>
    <w:p>
      <w:pPr>
        <w:numPr>
          <w:ilvl w:val="0"/>
          <w:numId w:val="11"/>
        </w:numPr>
        <w:spacing w:lineRule="auto"/>
      </w:pPr>
      <w:r>
        <w:rPr/>
        <w:t xml:space="preserve">Goedkeuring RTO/RPO per dienst en back-up retentiebeleid.</w:t>
      </w:r>
    </w:p>
    <w:p>
      <w:pPr>
        <w:numPr>
          <w:ilvl w:val="0"/>
          <w:numId w:val="11"/>
        </w:numPr>
        <w:spacing w:lineRule="auto"/>
      </w:pPr>
      <w:r>
        <w:rPr/>
        <w:t xml:space="preserve">Toegang tot relevante tenant/omgevingen en licentieoverzichten (Microsoft 365).</w:t>
      </w:r>
    </w:p>
    <w:p>
      <w:pPr>
        <w:numPr>
          <w:ilvl w:val="0"/>
          <w:numId w:val="11"/>
        </w:numPr>
        <w:spacing w:lineRule="auto"/>
      </w:pPr>
      <w:r>
        <w:rPr/>
        <w:t xml:space="preserve">Locaties en functies waarvoor VOG vereist is; proces voor badge/toegang.</w:t>
      </w:r>
    </w:p>
    <w:p>
      <w:pPr>
        <w:numPr>
          <w:ilvl w:val="0"/>
          <w:numId w:val="11"/>
        </w:numPr>
        <w:spacing w:lineRule="auto"/>
      </w:pPr>
      <w:r>
        <w:rPr/>
        <w:t xml:space="preserve">Duurzaamheidsdoelstellingen van Gemeente (eventuele aanvullende KPI’s).</w:t>
      </w:r>
    </w:p>
    <w:p>
      <w:pPr>
        <w:numPr>
          <w:ilvl w:val="0"/>
          <w:numId w:val="11"/>
        </w:numPr>
        <w:spacing w:lineRule="auto"/>
      </w:pPr>
      <w:r>
        <w:rPr/>
        <w:t xml:space="preserve">Afstemming survey-template CSAT en minimale steekproefgrootte.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/ SLA Dashboard</dc:title>
  <dc:subject/>
  <dc:creator>html-to-docx</dc:creator>
  <cp:keywords>html-to-docx</cp:keywords>
  <dc:description/>
  <cp:lastModifiedBy>html-to-docx</cp:lastModifiedBy>
  <cp:revision>1</cp:revision>
  <dcterms:created xsi:type="dcterms:W3CDTF">2025-11-17T18:58:26.497Z</dcterms:created>
  <dcterms:modified xsi:type="dcterms:W3CDTF">2025-11-17T18:58:26.497Z</dcterms:modified>
</cp:coreProperties>
</file>