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Planning (ASCII Gantt + Toelichting)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19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Planning — Raamovereenkomst Catering- en Horecadiensten voor Gemeente Middenstad (Project 1380) Opdrachtnemer: Uno Automatiseringsdiensten B.V. — Contractant: NVAO — Methode: EMVI</w:t>
      </w:r>
    </w:p>
    <w:p>
      <w:pPr>
        <w:spacing w:lineRule="auto"/>
      </w:pPr>
      <w:r>
        <w:rPr/>
        <w:t xml:space="preserve">ASCII-Gantt (2026, basisplanning; exploitatie loopt tot 2030-04-30) Legenda: ==== fase | ^^ mijlpaal | [GRx] gate review | R kwartaalreview/QBR</w:t>
      </w:r>
    </w:p>
    <w:p>
      <w:pPr>
        <w:pStyle w:val="Heading2"/>
        <w:spacing w:lineRule="auto"/>
      </w:pPr>
      <w:r>
        <w:rPr/>
        <w:t xml:space="preserve">2026            | Jan        | Feb        | Mar        | Apr        | May        | Jun        | Jul        | Aug        | Sep        | Oct        | Nov        | Dec</w:t>
      </w:r>
    </w:p>
    <w:p>
      <w:pPr>
        <w:spacing w:lineRule="auto"/>
      </w:pPr>
      <w:r>
        <w:rPr/>
        <w:t xml:space="preserve">M0 Contract     |      ^^15  |            |            |            |            |            |            |            |            |            |            | F1 Initiatie &amp;  |     =======|==          |            |            |            |            |            |            |            |            |            | Mobilisatie     | 15→05-Feb  |            |            |            |            |            |            |            |            |            |            | GR1 PvA akkoord |            |  [GR1]05   |            |            |            |            |            |            |            |            |            | F2 Transitie &amp;  |            |   =========|============|==          |            |            |            |            |            |            |            | Overname        |            | 06-Feb→31-Mar           |            |            |            |            |            |            |            |            | M1 Service Ready|            |            |           ^^31          |            |            |            |            |            |            |            | GR2 Go-Live     |            |            |            | [GR2]01    |            |            |            |            |            |            |            | F3 Stabilisatie |            |            |            |  ========= |            |            |            |            |            |            |            |                 |            |            |            | 01→30-Apr  |            |            |            |            |            |            |            | M2 1e KPI-rapport|           |            |            |          ^^30           |            |            |            |            |            |            | F4 Exploitatie &amp;|            |            |            |            |  =======================|============|============|============|============|============| PDCA (24/7)     |            |            |            |            | 01-May→31-Dec, doorlopend tot 30-Apr-2030                                         | QBR/Reviews     |            |            |            |            |        R30 |            |       R30  |            |       R30  |            | M3 KPI groen 2m |            |            |            |            |            |          ^^30           |            |            |            |            | M4 ISO 27001    |            |            |            |            |            |            |            |            |         ^^15|            |            | surveillance    |            |            |            |            |            |            |            |            | 15-Sep     |            |            | F5 Exit-readiness</w:t>
      </w:r>
    </w:p>
    <w:p>
      <w:pPr>
        <w:numPr>
          <w:ilvl w:val="0"/>
          <w:numId w:val="1"/>
        </w:numPr>
        <w:spacing w:lineRule="auto"/>
      </w:pPr>
      <w:r>
        <w:rPr/>
        <w:t xml:space="preserve">Plan (versie 1.0)         |            |            |            |            |    ====    |            |            |            |            |            |                      |            |            |            |            | 15→31-May  |            |            |            |            |            |</w:t>
      </w:r>
    </w:p>
    <w:p>
      <w:pPr>
        <w:numPr>
          <w:ilvl w:val="0"/>
          <w:numId w:val="1"/>
        </w:numPr>
        <w:spacing w:lineRule="auto"/>
      </w:pPr>
      <w:r>
        <w:rPr/>
        <w:t xml:space="preserve">Test (tabletop)           |            |            |            |            |            |            |            |            |    ========|            |                      |            |            |            |            |            |            |            |            | 01→31-Oct  |            |</w:t>
      </w:r>
    </w:p>
    <w:p>
      <w:pPr>
        <w:pStyle w:val="Heading2"/>
        <w:spacing w:lineRule="auto"/>
      </w:pPr>
      <w:r>
        <w:rPr/>
        <w:t xml:space="preserve">GR3 Einde stabilisatie      |            |            |            |     [GR3]30|            |            |            |            |            |            | GR4 Jaarreview (J1)         | (aankondiging: 30-Apr-2027; buiten deze jaargrafiek, wel vastgelegd in planning)</w:t>
      </w:r>
    </w:p>
    <w:p>
      <w:pPr>
        <w:spacing w:lineRule="auto"/>
      </w:pPr>
      <w:r>
        <w:rPr/>
        <w:t xml:space="preserve">Kernfasen, doelen, deliverables en PDCA</w:t>
      </w:r>
    </w:p>
    <w:p>
      <w:pPr>
        <w:numPr>
          <w:ilvl w:val="0"/>
          <w:numId w:val="2"/>
        </w:numPr>
        <w:spacing w:lineRule="auto"/>
      </w:pPr>
      <w:r>
        <w:rPr/>
        <w:t xml:space="preserve">F1 Initiatie &amp; Mobilisatie (15-01-2026 t/m 05-02-2026) Doel: projectinrichting, governance, detailinventarisatie en PvA-acceptatie. Deliverables: Plan van Aanpak v1.0 (incl. escalatieprocedure), RACI, communicatie- en securityplan (EU-dataverwerking geborgd). Gate: GR1 = goedgekeurd PvA, ISO- en VOG-bewijs gecontroleerd, 24/7 bereikbaarheidsdienst operationeel.</w:t>
      </w:r>
    </w:p>
    <w:p>
      <w:pPr>
        <w:numPr>
          <w:ilvl w:val="0"/>
          <w:numId w:val="2"/>
        </w:numPr>
        <w:spacing w:lineRule="auto"/>
      </w:pPr>
      <w:r>
        <w:rPr/>
        <w:t xml:space="preserve">F2 Transitie &amp; Overname (06-02-2026 t/m 31-03-2026) Doel: gecontroleerde overdracht van beheer, implementatie monitoring, patchmanagement, ITIL-servicedesk en BCP-activatie. Deliverables: CMDB-import, monitoring dashboards live, patchpolicy actief, runbooks P1–P3, BCP/DR test (tabletop), EU-data check. Mijlpaal: M1 Service Ready; alle must-eisen actief (responstijd P1 &lt; 30 min bewezen via testcall).</w:t>
      </w:r>
    </w:p>
    <w:p>
      <w:pPr>
        <w:numPr>
          <w:ilvl w:val="0"/>
          <w:numId w:val="2"/>
        </w:numPr>
        <w:spacing w:lineRule="auto"/>
      </w:pPr>
      <w:r>
        <w:rPr/>
        <w:t xml:space="preserve">F3 Stabilisatie (01-04-2026 t/m 30-04-2026) Doel: prestaties stabiliseren, kinderziektes verhelpen, eerste SLA-rapportage. Deliverables: KPI-rapport maand 1, risicodossier v1.1, probleembeheer analyses. Gate: GR3 = alle SLA’s ≥ target in laatste 2 weken; geen open P1/P2 ouder dan 7 dagen.</w:t>
      </w:r>
    </w:p>
    <w:p>
      <w:pPr>
        <w:numPr>
          <w:ilvl w:val="0"/>
          <w:numId w:val="2"/>
        </w:numPr>
        <w:spacing w:lineRule="auto"/>
      </w:pPr>
      <w:r>
        <w:rPr/>
        <w:t xml:space="preserve">F4 Exploitatie &amp; Continu Verbeteren (01-05-2026 t/m 30-04-2030) Doel: duurzame, beveiligde 24/7 dienstverlening met maandelijkse PDCA-loop en kwartaalreviews (QBR). Deliverables: maandelijkse SLA/KPI-rapporten, kwartaal-verbeterbacklog, jaarreview en roadmap. Mijlpalen: M3 KPI groen 2 maanden op rij (30-06-2026), M4 ISO 27001 surveillance (15-09-2026) zonder bevindingen categorie Major.</w:t>
      </w:r>
    </w:p>
    <w:p>
      <w:pPr>
        <w:numPr>
          <w:ilvl w:val="0"/>
          <w:numId w:val="2"/>
        </w:numPr>
        <w:spacing w:lineRule="auto"/>
      </w:pPr>
      <w:r>
        <w:rPr/>
        <w:t xml:space="preserve">F5 Exit-readiness Doel: borging continuïteit en overdraagbaarheid. Exitplan v1.0 (mei 2026), tabletop-test (oktober 2026), jaarlijkse herijking.</w:t>
      </w:r>
    </w:p>
    <w:p>
      <w:pPr>
        <w:spacing w:lineRule="auto"/>
      </w:pPr>
      <w:r>
        <w:rPr/>
        <w:t xml:space="preserve">PDCA-cyclus (maandelijks, start mei 2026)</w:t>
      </w:r>
    </w:p>
    <w:p>
      <w:pPr>
        <w:numPr>
          <w:ilvl w:val="0"/>
          <w:numId w:val="3"/>
        </w:numPr>
        <w:spacing w:lineRule="auto"/>
      </w:pPr>
      <w:r>
        <w:rPr/>
        <w:t xml:space="preserve">Plan: verbeterhypotheses op basis van trendanalyse incidenten/changes/patchcompliance en security-events.</w:t>
      </w:r>
    </w:p>
    <w:p>
      <w:pPr>
        <w:numPr>
          <w:ilvl w:val="0"/>
          <w:numId w:val="3"/>
        </w:numPr>
        <w:spacing w:lineRule="auto"/>
      </w:pPr>
      <w:r>
        <w:rPr/>
        <w:t xml:space="preserve">Do: implementatie verbeteringen via CAB-goedgekeurde changes binnen vastgesteld onderhoudsvenster.</w:t>
      </w:r>
    </w:p>
    <w:p>
      <w:pPr>
        <w:numPr>
          <w:ilvl w:val="0"/>
          <w:numId w:val="3"/>
        </w:numPr>
        <w:spacing w:lineRule="auto"/>
      </w:pPr>
      <w:r>
        <w:rPr/>
        <w:t xml:space="preserve">Check: maandelijkse SLA-rapportage met variatieanalyse en root cause; QBR per kwartaal.</w:t>
      </w:r>
    </w:p>
    <w:p>
      <w:pPr>
        <w:numPr>
          <w:ilvl w:val="0"/>
          <w:numId w:val="3"/>
        </w:numPr>
        <w:spacing w:lineRule="auto"/>
      </w:pPr>
      <w:r>
        <w:rPr/>
        <w:t xml:space="preserve">Act: herprioriteren backlog, aanpassen runbooks en KPI-targets indien overeengekomen; lessons learned vastleggen.</w:t>
      </w:r>
    </w:p>
    <w:p>
      <w:pPr>
        <w:spacing w:lineRule="auto"/>
      </w:pPr>
      <w:r>
        <w:rPr/>
        <w:t xml:space="preserve">KPI’s en SLA’s (SMART)</w:t>
      </w:r>
    </w:p>
    <w:p>
      <w:pPr>
        <w:numPr>
          <w:ilvl w:val="0"/>
          <w:numId w:val="4"/>
        </w:numPr>
        <w:spacing w:lineRule="auto"/>
      </w:pPr>
      <w:r>
        <w:rPr/>
        <w:t xml:space="preserve">KPI-1 Beschikbaarheid kritieke systemen: ≥ 99,8% per kalendermaand (exclusief vooraf geaccordeerde onderhoudsvensters). Meetmethode: monitoring en uptime-rapporten; tolerantie: 0,2%. Escalatie bij &lt;99,8% binnen 4 uur naar senior management en opdrachtgever.</w:t>
      </w:r>
    </w:p>
    <w:p>
      <w:pPr>
        <w:numPr>
          <w:ilvl w:val="0"/>
          <w:numId w:val="4"/>
        </w:numPr>
        <w:spacing w:lineRule="auto"/>
      </w:pPr>
      <w:r>
        <w:rPr/>
        <w:t xml:space="preserve">KPI-2 Responstijd P1 incidenten: ≤ 30 minuten (24/7). Meetmethode: ticketsysteem-stempels en geautomatiseerde alert-acknowledgement. Escalatie: automatische paging na 10 min; management alert na 20 min.</w:t>
      </w:r>
    </w:p>
    <w:p>
      <w:pPr>
        <w:numPr>
          <w:ilvl w:val="0"/>
          <w:numId w:val="4"/>
        </w:numPr>
        <w:spacing w:lineRule="auto"/>
      </w:pPr>
      <w:r>
        <w:rPr/>
        <w:t xml:space="preserve">KPI-3 Oplostijd P1 incidenten: ≤ 4 uur (TTF). Meetmethode: ticketdata; rekenregels vastgelegd in SLA. Workaround acceptabel indien schriftelijk akkoord opdrachtgever.</w:t>
      </w:r>
    </w:p>
    <w:p>
      <w:pPr>
        <w:numPr>
          <w:ilvl w:val="0"/>
          <w:numId w:val="4"/>
        </w:numPr>
        <w:spacing w:lineRule="auto"/>
      </w:pPr>
      <w:r>
        <w:rPr/>
        <w:t xml:space="preserve">Aanvullend kwaliteitsdoel (Duurzaamheid): reductie energieverbruik hostingcomponenten -5% in jaar 1 t.o.v. baseline (mei 2026), via optimalisatie workloads en patching; rapportage per QBR.</w:t>
      </w:r>
    </w:p>
    <w:p>
      <w:pPr>
        <w:spacing w:lineRule="auto"/>
      </w:pPr>
      <w:r>
        <w:rPr/>
        <w:t xml:space="preserve">Risicobeheersing (selectie, gekoppeld aan W-xxx)</w:t>
      </w:r>
    </w:p>
    <w:p>
      <w:pPr>
        <w:numPr>
          <w:ilvl w:val="0"/>
          <w:numId w:val="5"/>
        </w:numPr>
        <w:spacing w:lineRule="auto"/>
      </w:pPr>
      <w:r>
        <w:rPr/>
        <w:t xml:space="preserve">R-01 Vertraagde toegang en informatie kan transitie vertragen. Maatregel: W-02 en W-03 strak plannen met harde acceptatiecriteria in GR1.</w:t>
      </w:r>
    </w:p>
    <w:p>
      <w:pPr>
        <w:numPr>
          <w:ilvl w:val="0"/>
          <w:numId w:val="5"/>
        </w:numPr>
        <w:spacing w:lineRule="auto"/>
      </w:pPr>
      <w:r>
        <w:rPr/>
        <w:t xml:space="preserve">R-02 Onvoldoende monitoring/patching leidt tot SLA-schending. Maatregel: W-05 W-06 implementeren vóór M1, maandelijkse audits.</w:t>
      </w:r>
    </w:p>
    <w:p>
      <w:pPr>
        <w:numPr>
          <w:ilvl w:val="0"/>
          <w:numId w:val="5"/>
        </w:numPr>
        <w:spacing w:lineRule="auto"/>
      </w:pPr>
      <w:r>
        <w:rPr/>
        <w:t xml:space="preserve">R-03 Dataverwerking buiten EU door derde partijen. Maatregel: W-04 EU-data check en verwerkersovereenkomsten afronden vóór GR2.</w:t>
      </w:r>
    </w:p>
    <w:p>
      <w:pPr>
        <w:numPr>
          <w:ilvl w:val="0"/>
          <w:numId w:val="5"/>
        </w:numPr>
        <w:spacing w:lineRule="auto"/>
      </w:pPr>
      <w:r>
        <w:rPr/>
        <w:t xml:space="preserve">R-04 24/7 bezetting niet aantoonbaar. Maatregel: W-07 paging-test en roostercontrole in F2.</w:t>
      </w:r>
    </w:p>
    <w:p>
      <w:pPr>
        <w:numPr>
          <w:ilvl w:val="0"/>
          <w:numId w:val="5"/>
        </w:numPr>
        <w:spacing w:lineRule="auto"/>
      </w:pPr>
      <w:r>
        <w:rPr/>
        <w:t xml:space="preserve">R-05 Kennisoverdracht incompleet. Maatregel: W-09 runbooks, schaduwdiensten en toetsing in F3.</w:t>
      </w:r>
    </w:p>
    <w:p>
      <w:pPr>
        <w:spacing w:lineRule="auto"/>
      </w:pPr>
      <w:r>
        <w:rPr/>
        <w:t xml:space="preserve">W-xx werkpakketten met koppeling KPI ↔ Risico ↔ Bewijs</w:t>
      </w:r>
    </w:p>
    <w:p>
      <w:pPr>
        <w:numPr>
          <w:ilvl w:val="0"/>
          <w:numId w:val="6"/>
        </w:numPr>
        <w:spacing w:lineRule="auto"/>
      </w:pPr>
      <w:r>
        <w:rPr/>
        <w:t xml:space="preserve">W-01 Projectstart en governance inrichten (15-01 t/m 19-01-2026) KPI: KPI-2, KPI-3 | Risico: R-04 | Bewijs: E-02 SOC-paging-config, E-06 Escalatietestlog.</w:t>
      </w:r>
    </w:p>
    <w:p>
      <w:pPr>
        <w:numPr>
          <w:ilvl w:val="0"/>
          <w:numId w:val="6"/>
        </w:numPr>
        <w:spacing w:lineRule="auto"/>
      </w:pPr>
      <w:r>
        <w:rPr/>
        <w:t xml:space="preserve">W-02 Inventarisatie systemen/CMDB (15-01 t/m 05-02-2026) KPI: KPI-1 | Risico: R-01, R-05 | Bewijs: E-08 CMDB-export, E-09 Config-reviewrapport.</w:t>
      </w:r>
    </w:p>
    <w:p>
      <w:pPr>
        <w:numPr>
          <w:ilvl w:val="0"/>
          <w:numId w:val="6"/>
        </w:numPr>
        <w:spacing w:lineRule="auto"/>
      </w:pPr>
      <w:r>
        <w:rPr/>
        <w:t xml:space="preserve">W-03 Plan van Aanpak en Securityplan (15-01 t/m 05-02-2026) KPI: KPI-1 | Risico: R-02, R-03 | Bewijs: E-01 ISO 27001/9001 certificaten, E-05 DPA/EU-dataverwerking.</w:t>
      </w:r>
    </w:p>
    <w:p>
      <w:pPr>
        <w:numPr>
          <w:ilvl w:val="0"/>
          <w:numId w:val="6"/>
        </w:numPr>
        <w:spacing w:lineRule="auto"/>
      </w:pPr>
      <w:r>
        <w:rPr/>
        <w:t xml:space="preserve">W-04 EU-dataverwerking valideren (06-02 t/m 16-02-2026) KPI: KPI-1 | Risico: R-03 | Bewijs: E-05 DPA’s en verwerkersregister.</w:t>
      </w:r>
    </w:p>
    <w:p>
      <w:pPr>
        <w:numPr>
          <w:ilvl w:val="0"/>
          <w:numId w:val="6"/>
        </w:numPr>
        <w:spacing w:lineRule="auto"/>
      </w:pPr>
      <w:r>
        <w:rPr/>
        <w:t xml:space="preserve">W-05 Monitoring implementeren (06-02 t/m 29-02-2026) KPI: KPI-1, KPI-2 | Risico: R-02 | Bewijs: E-02 Monitoringdashboards, uptime-rapporten.</w:t>
      </w:r>
    </w:p>
    <w:p>
      <w:pPr>
        <w:numPr>
          <w:ilvl w:val="0"/>
          <w:numId w:val="6"/>
        </w:numPr>
        <w:spacing w:lineRule="auto"/>
      </w:pPr>
      <w:r>
        <w:rPr/>
        <w:t xml:space="preserve">W-06 Patchmanagement activeren (10-02 t/m 15-03-2026) KPI: KPI-1 | Risico: R-02 | Bewijs: E-10 Patchcompliancerapporten, CAB-logs.</w:t>
      </w:r>
    </w:p>
    <w:p>
      <w:pPr>
        <w:numPr>
          <w:ilvl w:val="0"/>
          <w:numId w:val="6"/>
        </w:numPr>
        <w:spacing w:lineRule="auto"/>
      </w:pPr>
      <w:r>
        <w:rPr/>
        <w:t xml:space="preserve">W-07 24/7 bereikbaarheidsdienst (06-02 t/m 31-03-2026) KPI: KPI-2, KPI-3 | Risico: R-04 | Bewijs: E-06 Roosters, testcalls, MTTR-statistiek.</w:t>
      </w:r>
    </w:p>
    <w:p>
      <w:pPr>
        <w:numPr>
          <w:ilvl w:val="0"/>
          <w:numId w:val="6"/>
        </w:numPr>
        <w:spacing w:lineRule="auto"/>
      </w:pPr>
      <w:r>
        <w:rPr/>
        <w:t xml:space="preserve">W-08 ITIL-servicedesk processen (06-02 t/m 20-03-2026) KPI: KPI-2, KPI-3 | Risico: R-02 | Bewijs: E-11 Processdocumenten, toolconfig, KPI-exports.</w:t>
      </w:r>
    </w:p>
    <w:p>
      <w:pPr>
        <w:numPr>
          <w:ilvl w:val="0"/>
          <w:numId w:val="6"/>
        </w:numPr>
        <w:spacing w:lineRule="auto"/>
      </w:pPr>
      <w:r>
        <w:rPr/>
        <w:t xml:space="preserve">W-09 Runbooks en BCP/DR tabletop (01-03 t/m 29-03-2026) KPI: KPI-1 | Risico: R-05 | Bewijs: E-03 BCP, E-12 Tabletop-rapport en actiepunten.</w:t>
      </w:r>
    </w:p>
    <w:p>
      <w:pPr>
        <w:numPr>
          <w:ilvl w:val="0"/>
          <w:numId w:val="6"/>
        </w:numPr>
        <w:spacing w:lineRule="auto"/>
      </w:pPr>
      <w:r>
        <w:rPr/>
        <w:t xml:space="preserve">W-10 Go-Live en stabilisatie (01-04 t/m 30-04-2026) KPI: KPI-1-3 | Risico: R-01-05 | Bewijs: E-13 Go-Live verslag, E-14 SLA-rapport maand 1.</w:t>
      </w:r>
    </w:p>
    <w:p>
      <w:pPr>
        <w:numPr>
          <w:ilvl w:val="0"/>
          <w:numId w:val="6"/>
        </w:numPr>
        <w:spacing w:lineRule="auto"/>
      </w:pPr>
      <w:r>
        <w:rPr/>
        <w:t xml:space="preserve">W-11 PDCA-loop operationeel (01-05-2026 start, maandelijks) KPI: KPI-1-3 | Risico: trendbreuken | Bewijs: E-15 Maandrapporten, QBR-slides.</w:t>
      </w:r>
    </w:p>
    <w:p>
      <w:pPr>
        <w:numPr>
          <w:ilvl w:val="0"/>
          <w:numId w:val="6"/>
        </w:numPr>
        <w:spacing w:lineRule="auto"/>
      </w:pPr>
      <w:r>
        <w:rPr/>
        <w:t xml:space="preserve">W-12 Duurzaamheidsoptimalisaties (mei–dec 2026) KPI: Duurzaamheidsdoel (-5% energie) | Risico: besparingen blijven uit | Bewijs: E-16 Baseline- en QBR-meting.</w:t>
      </w:r>
    </w:p>
    <w:p>
      <w:pPr>
        <w:spacing w:lineRule="auto"/>
      </w:pPr>
      <w:r>
        <w:rPr/>
        <w:t xml:space="preserve">Bewijsbronnen (selectie)</w:t>
      </w:r>
    </w:p>
    <w:p>
      <w:pPr>
        <w:numPr>
          <w:ilvl w:val="0"/>
          <w:numId w:val="7"/>
        </w:numPr>
        <w:spacing w:lineRule="auto"/>
      </w:pPr>
      <w:r>
        <w:rPr/>
        <w:t xml:space="preserve">E-01 ISO 27001/9001 certificaten (geldig, scope beheer &amp; security).</w:t>
      </w:r>
    </w:p>
    <w:p>
      <w:pPr>
        <w:numPr>
          <w:ilvl w:val="0"/>
          <w:numId w:val="7"/>
        </w:numPr>
        <w:spacing w:lineRule="auto"/>
      </w:pPr>
      <w:r>
        <w:rPr/>
        <w:t xml:space="preserve">E-02 Monitoring/SOC-export (uptime, alerting, response).</w:t>
      </w:r>
    </w:p>
    <w:p>
      <w:pPr>
        <w:numPr>
          <w:ilvl w:val="0"/>
          <w:numId w:val="7"/>
        </w:numPr>
        <w:spacing w:lineRule="auto"/>
      </w:pPr>
      <w:r>
        <w:rPr/>
        <w:t xml:space="preserve">E-03 BCP/DR-documentatie en testverslagen.</w:t>
      </w:r>
    </w:p>
    <w:p>
      <w:pPr>
        <w:numPr>
          <w:ilvl w:val="0"/>
          <w:numId w:val="7"/>
        </w:numPr>
        <w:spacing w:lineRule="auto"/>
      </w:pPr>
      <w:r>
        <w:rPr/>
        <w:t xml:space="preserve">E-05 EU DPA’s en verwerkersregister.</w:t>
      </w:r>
    </w:p>
    <w:p>
      <w:pPr>
        <w:numPr>
          <w:ilvl w:val="0"/>
          <w:numId w:val="7"/>
        </w:numPr>
        <w:spacing w:lineRule="auto"/>
      </w:pPr>
      <w:r>
        <w:rPr/>
        <w:t xml:space="preserve">E-06 Escalatie- en on-call testlogs.</w:t>
      </w:r>
    </w:p>
    <w:p>
      <w:pPr>
        <w:numPr>
          <w:ilvl w:val="0"/>
          <w:numId w:val="7"/>
        </w:numPr>
        <w:spacing w:lineRule="auto"/>
      </w:pPr>
      <w:r>
        <w:rPr/>
        <w:t xml:space="preserve">E-10 Patchcompliance-rapporten uit tooling.</w:t>
      </w:r>
    </w:p>
    <w:p>
      <w:pPr>
        <w:numPr>
          <w:ilvl w:val="0"/>
          <w:numId w:val="7"/>
        </w:numPr>
        <w:spacing w:lineRule="auto"/>
      </w:pPr>
      <w:r>
        <w:rPr/>
        <w:t xml:space="preserve">E-14 SLA/KPI-rapportages (maandelijks).</w:t>
      </w:r>
    </w:p>
    <w:p>
      <w:pPr>
        <w:numPr>
          <w:ilvl w:val="0"/>
          <w:numId w:val="7"/>
        </w:numPr>
        <w:spacing w:lineRule="auto"/>
      </w:pPr>
      <w:r>
        <w:rPr/>
        <w:t xml:space="preserve">E-16 Duurzaamheidsmeting (baseline vs. actuele consumptie).</w:t>
      </w:r>
    </w:p>
    <w:p>
      <w:pPr>
        <w:spacing w:lineRule="auto"/>
      </w:pPr>
      <w:r>
        <w:rPr/>
        <w:t xml:space="preserve">Gate-criteria</w:t>
      </w:r>
    </w:p>
    <w:p>
      <w:pPr>
        <w:numPr>
          <w:ilvl w:val="0"/>
          <w:numId w:val="8"/>
        </w:numPr>
        <w:spacing w:lineRule="auto"/>
      </w:pPr>
      <w:r>
        <w:rPr/>
        <w:t xml:space="preserve">GR1 (05-02-2026): PvA goedgekeurd, risico- en stakeholderregister gereed, ISO-bewijs en VOG-proces gecontroleerd.</w:t>
      </w:r>
    </w:p>
    <w:p>
      <w:pPr>
        <w:numPr>
          <w:ilvl w:val="0"/>
          <w:numId w:val="8"/>
        </w:numPr>
        <w:spacing w:lineRule="auto"/>
      </w:pPr>
      <w:r>
        <w:rPr/>
        <w:t xml:space="preserve">GR2 (01-04-2026): Monitoring 100% van kritieke assets, patchpolicy actief, 24/7-escalatie getest, EU-data geborgd, Service Ready verklaard.</w:t>
      </w:r>
    </w:p>
    <w:p>
      <w:pPr>
        <w:numPr>
          <w:ilvl w:val="0"/>
          <w:numId w:val="8"/>
        </w:numPr>
        <w:spacing w:lineRule="auto"/>
      </w:pPr>
      <w:r>
        <w:rPr/>
        <w:t xml:space="preserve">GR3 (30-04-2026): KPI-1 ≥ 99,8% (laatste 2 weken), KPI-2 en KPI-3 100% gehaald, geen open P1/P2 ouder dan 7 dagen, runbooks afgerond.</w:t>
      </w:r>
    </w:p>
    <w:p>
      <w:pPr>
        <w:numPr>
          <w:ilvl w:val="0"/>
          <w:numId w:val="8"/>
        </w:numPr>
        <w:spacing w:lineRule="auto"/>
      </w:pPr>
      <w:r>
        <w:rPr/>
        <w:t xml:space="preserve">GR4 (30-04-2027): Jaarreview incl. PDCA-resultaten, verbeterdoelen jaar 2 vastgesteld, herbevestiging continuïteits- en exitplan.</w:t>
      </w:r>
    </w:p>
    <w:p>
      <w:pPr>
        <w:spacing w:lineRule="auto"/>
      </w:pPr>
      <w:r>
        <w:rPr/>
        <w:t xml:space="preserve">Kwaliteit, duurzaamheid, risicobeheersing en prijs (EMVI)</w:t>
      </w:r>
    </w:p>
    <w:p>
      <w:pPr>
        <w:numPr>
          <w:ilvl w:val="0"/>
          <w:numId w:val="9"/>
        </w:numPr>
        <w:spacing w:lineRule="auto"/>
      </w:pPr>
      <w:r>
        <w:rPr/>
        <w:t xml:space="preserve">Kwaliteit (40%): aantoonbare SLA-sturing, ITIL-processen, ISO-geborgd; PDCA met QBR; schaduwdiensten in F3.</w:t>
      </w:r>
    </w:p>
    <w:p>
      <w:pPr>
        <w:numPr>
          <w:ilvl w:val="0"/>
          <w:numId w:val="9"/>
        </w:numPr>
        <w:spacing w:lineRule="auto"/>
      </w:pPr>
      <w:r>
        <w:rPr/>
        <w:t xml:space="preserve">Duurzaamheid (20%): -5% energie jaar 1 door workloadoptimalisatie, patching en lifecycle-management; rapportage in QBR.</w:t>
      </w:r>
    </w:p>
    <w:p>
      <w:pPr>
        <w:numPr>
          <w:ilvl w:val="0"/>
          <w:numId w:val="9"/>
        </w:numPr>
        <w:spacing w:lineRule="auto"/>
      </w:pPr>
      <w:r>
        <w:rPr/>
        <w:t xml:space="preserve">Risicobeheersing (20%): vroegtijdige EU-data validatie (W-04), paging-tests (W-07), BCP/DR tabletop (W-09), exit-readiness (F5).</w:t>
      </w:r>
    </w:p>
    <w:p>
      <w:pPr>
        <w:numPr>
          <w:ilvl w:val="0"/>
          <w:numId w:val="9"/>
        </w:numPr>
        <w:spacing w:lineRule="auto"/>
      </w:pPr>
      <w:r>
        <w:rPr/>
        <w:t xml:space="preserve">Prijs (20%): vaste maandfee voor beheer; meerwerk per offerte; garanties: 12 maanden op projectdeliverables.</w:t>
      </w:r>
    </w:p>
    <w:p>
      <w:pPr>
        <w:spacing w:lineRule="auto"/>
      </w:pPr>
      <w:r>
        <w:rPr/>
        <w:t xml:space="preserve">SLA-conformiteit en compliancy</w:t>
      </w:r>
    </w:p>
    <w:p>
      <w:pPr>
        <w:numPr>
          <w:ilvl w:val="0"/>
          <w:numId w:val="10"/>
        </w:numPr>
        <w:spacing w:lineRule="auto"/>
      </w:pPr>
      <w:r>
        <w:rPr/>
        <w:t xml:space="preserve">KO: ISO 27001/9001 gecertificeerd — E-01 bijgevoegd.</w:t>
      </w:r>
    </w:p>
    <w:p>
      <w:pPr>
        <w:numPr>
          <w:ilvl w:val="0"/>
          <w:numId w:val="10"/>
        </w:numPr>
        <w:spacing w:lineRule="auto"/>
      </w:pPr>
      <w:r>
        <w:rPr/>
        <w:t xml:space="preserve">KO: 24/7 bereikbaarheidsdienst — W-07 geïmplementeerd en getest.</w:t>
      </w:r>
    </w:p>
    <w:p>
      <w:pPr>
        <w:numPr>
          <w:ilvl w:val="0"/>
          <w:numId w:val="10"/>
        </w:numPr>
        <w:spacing w:lineRule="auto"/>
      </w:pPr>
      <w:r>
        <w:rPr/>
        <w:t xml:space="preserve">Musts: Responstijd P1 ≤ 30 min; Beschikbaarheid ≥ 99,8%; Proactieve monitoring &amp; patchmanagement; ITIL-servicedesk; EU-dataverwerking; Escalatieprocedure; BCP beschikbaar; VOG-proces; Proactieve netwerk/endpoint monitoring; M365-support — allen opgenomen in W-01 t/m W-11 en getoetst bij GR2/GR3.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11"/>
        </w:numPr>
        <w:spacing w:lineRule="auto"/>
      </w:pPr>
      <w:r>
        <w:rPr/>
        <w:t xml:space="preserve">Definitieve gunningsdatum en gewenste ingangsdatum dienstverlening (voor bevestiging planning).</w:t>
      </w:r>
    </w:p>
    <w:p>
      <w:pPr>
        <w:numPr>
          <w:ilvl w:val="0"/>
          <w:numId w:val="11"/>
        </w:numPr>
        <w:spacing w:lineRule="auto"/>
      </w:pPr>
      <w:r>
        <w:rPr/>
        <w:t xml:space="preserve">Aantallen en locaties (locatielijst, openingstijden, contactpersonen, toegangsregels).</w:t>
      </w:r>
    </w:p>
    <w:p>
      <w:pPr>
        <w:numPr>
          <w:ilvl w:val="0"/>
          <w:numId w:val="11"/>
        </w:numPr>
        <w:spacing w:lineRule="auto"/>
      </w:pPr>
      <w:r>
        <w:rPr/>
        <w:t xml:space="preserve">Overzicht kritieke systemen/diensten en huidige leveranciers, inclusief contractuele exit-voorwaarden.</w:t>
      </w:r>
    </w:p>
    <w:p>
      <w:pPr>
        <w:numPr>
          <w:ilvl w:val="0"/>
          <w:numId w:val="11"/>
        </w:numPr>
        <w:spacing w:lineRule="auto"/>
      </w:pPr>
      <w:r>
        <w:rPr/>
        <w:t xml:space="preserve">Toegang tot huidige CMDB, netwerkdiagrammen, securitypolicies en onderhoudsvensters.</w:t>
      </w:r>
    </w:p>
    <w:p>
      <w:pPr>
        <w:numPr>
          <w:ilvl w:val="0"/>
          <w:numId w:val="11"/>
        </w:numPr>
        <w:spacing w:lineRule="auto"/>
      </w:pPr>
      <w:r>
        <w:rPr/>
        <w:t xml:space="preserve">Verwerkersovereenkomsten/DPAs van derde partijen; expliciete eisen rondom EU-dataverwerking.</w:t>
      </w:r>
    </w:p>
    <w:p>
      <w:pPr>
        <w:numPr>
          <w:ilvl w:val="0"/>
          <w:numId w:val="11"/>
        </w:numPr>
        <w:spacing w:lineRule="auto"/>
      </w:pPr>
      <w:r>
        <w:rPr/>
        <w:t xml:space="preserve">P1/P2/P3-definities opdrachtgever en gewenste escalatieroutes.</w:t>
      </w:r>
    </w:p>
    <w:p>
      <w:pPr>
        <w:numPr>
          <w:ilvl w:val="0"/>
          <w:numId w:val="11"/>
        </w:numPr>
        <w:spacing w:lineRule="auto"/>
      </w:pPr>
      <w:r>
        <w:rPr/>
        <w:t xml:space="preserve">VOG-eisen per rol en screeningskaders.</w:t>
      </w:r>
    </w:p>
    <w:p>
      <w:pPr>
        <w:numPr>
          <w:ilvl w:val="0"/>
          <w:numId w:val="11"/>
        </w:numPr>
        <w:spacing w:lineRule="auto"/>
      </w:pPr>
      <w:r>
        <w:rPr/>
        <w:t xml:space="preserve">Baseline energieverbruik relevante IT-componenten (voor duurzaamheids-KPI).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(ASCII Gantt + Toelichting)</dc:title>
  <dc:subject/>
  <dc:creator>html-to-docx</dc:creator>
  <cp:keywords>html-to-docx</cp:keywords>
  <dc:description/>
  <cp:lastModifiedBy>html-to-docx</cp:lastModifiedBy>
  <cp:revision>1</cp:revision>
  <dcterms:created xsi:type="dcterms:W3CDTF">2025-11-17T18:58:26.497Z</dcterms:created>
  <dcterms:modified xsi:type="dcterms:W3CDTF">2025-11-17T18:58:26.497Z</dcterms:modified>
</cp:coreProperties>
</file>