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README — Lees Mij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README</w:t>
      </w:r>
    </w:p>
    <w:p>
      <w:pPr>
        <w:spacing w:lineRule="auto"/>
      </w:pPr>
      <w:r>
        <w:rPr/>
        <w:t xml:space="preserve">Doel</w:t>
      </w:r>
    </w:p>
    <w:p>
      <w:pPr>
        <w:numPr>
          <w:ilvl w:val="0"/>
          <w:numId w:val="1"/>
        </w:numPr>
        <w:spacing w:lineRule="auto"/>
      </w:pPr>
      <w:r>
        <w:rPr/>
        <w:t xml:space="preserve">Deze README geeft snel overzicht en context van de inzending voor: Raamovereenkomst Catering- en Horecadiensten voor Gemeente Middenstad (Project 1380), aanbestedende dienst: NVAO, land: NL.</w:t>
      </w:r>
    </w:p>
    <w:p>
      <w:pPr>
        <w:numPr>
          <w:ilvl w:val="0"/>
          <w:numId w:val="1"/>
        </w:numPr>
        <w:spacing w:lineRule="auto"/>
      </w:pPr>
      <w:r>
        <w:rPr/>
        <w:t xml:space="preserve">Gericht op snelle verificatie van KO-eisen, navigatie door de documenten en PDCA-sturing op KPI’s, risico’s en bewijs.</w:t>
      </w:r>
    </w:p>
    <w:p>
      <w:pPr>
        <w:spacing w:lineRule="auto"/>
      </w:pPr>
      <w:r>
        <w:rPr/>
        <w:t xml:space="preserve">Inhoud van de bundel</w:t>
      </w:r>
    </w:p>
    <w:p>
      <w:pPr>
        <w:numPr>
          <w:ilvl w:val="0"/>
          <w:numId w:val="2"/>
        </w:numPr>
        <w:spacing w:lineRule="auto"/>
      </w:pPr>
      <w:r>
        <w:rPr/>
        <w:t xml:space="preserve">README (dit document)</w:t>
      </w:r>
    </w:p>
    <w:p>
      <w:pPr>
        <w:numPr>
          <w:ilvl w:val="0"/>
          <w:numId w:val="2"/>
        </w:numPr>
        <w:spacing w:lineRule="auto"/>
      </w:pPr>
      <w:r>
        <w:rPr/>
        <w:t xml:space="preserve">Plan van Aanpak (PvA): aanpak, W-werkpakketten, planning, governance, escalatie, EU-dataverwerking, ITIL-processen, continuïteit (BCP), 24/7 bereikbaarheidsdienst, M365-ondersteuning, monitoring/patching, duurzaamheid, bijlagen: Assumpties &amp; Uitsluitingen, Bewijsregister.</w:t>
      </w:r>
    </w:p>
    <w:p>
      <w:pPr>
        <w:numPr>
          <w:ilvl w:val="0"/>
          <w:numId w:val="2"/>
        </w:numPr>
        <w:spacing w:lineRule="auto"/>
      </w:pPr>
      <w:r>
        <w:rPr/>
        <w:t xml:space="preserve">Risicodossier: risico’s, oorzaken, impact, beheersmaatregelen, triggers, restkans/restimpact, eigenaar, PDCA-verbeteracties.</w:t>
      </w:r>
    </w:p>
    <w:p>
      <w:pPr>
        <w:numPr>
          <w:ilvl w:val="0"/>
          <w:numId w:val="2"/>
        </w:numPr>
        <w:spacing w:lineRule="auto"/>
      </w:pPr>
      <w:r>
        <w:rPr/>
        <w:t xml:space="preserve">KPI-overzicht: definities, targets, meetmethode, rapportagefrequentie, SLA’s (Beschikbaarheid 99,8% p/maand; Responstijd P1 &lt; 30 min; Oplostijd P1 &lt; 4 uur), drempel- en escalatieregels.</w:t>
      </w:r>
    </w:p>
    <w:p>
      <w:pPr>
        <w:spacing w:lineRule="auto"/>
      </w:pPr>
      <w:r>
        <w:rPr/>
        <w:t xml:space="preserve">Structuur en PDCA</w:t>
      </w:r>
    </w:p>
    <w:p>
      <w:pPr>
        <w:numPr>
          <w:ilvl w:val="0"/>
          <w:numId w:val="3"/>
        </w:numPr>
        <w:spacing w:lineRule="auto"/>
      </w:pPr>
      <w:r>
        <w:rPr/>
        <w:t xml:space="preserve">Plan: PvA met scope, eisenmatrix, W-werkpakketten, planning, rolverdeling, BCP en securitykaders (ISO 27001/9001).</w:t>
      </w:r>
    </w:p>
    <w:p>
      <w:pPr>
        <w:numPr>
          <w:ilvl w:val="0"/>
          <w:numId w:val="3"/>
        </w:numPr>
        <w:spacing w:lineRule="auto"/>
      </w:pPr>
      <w:r>
        <w:rPr/>
        <w:t xml:space="preserve">Do: uitvoering via W-werkpakketten (W-01 t/m W-06) met runbooks en change-/incidentflows (ITIL).</w:t>
      </w:r>
    </w:p>
    <w:p>
      <w:pPr>
        <w:numPr>
          <w:ilvl w:val="0"/>
          <w:numId w:val="3"/>
        </w:numPr>
        <w:spacing w:lineRule="auto"/>
      </w:pPr>
      <w:r>
        <w:rPr/>
        <w:t xml:space="preserve">Check: KPI-overzicht en maandelijkse SLA-rapportage; trendanalyse, oorzakenanalyse, audit-trails.</w:t>
      </w:r>
    </w:p>
    <w:p>
      <w:pPr>
        <w:numPr>
          <w:ilvl w:val="0"/>
          <w:numId w:val="3"/>
        </w:numPr>
        <w:spacing w:lineRule="auto"/>
      </w:pPr>
      <w:r>
        <w:rPr/>
        <w:t xml:space="preserve">Act: verbeteracties in Risicodossier en PvA-verbeterplan; herijking KPI-drempels en maatregelen.</w:t>
      </w:r>
    </w:p>
    <w:p>
      <w:pPr>
        <w:spacing w:lineRule="auto"/>
      </w:pPr>
      <w:r>
        <w:rPr/>
        <w:t xml:space="preserve">Hoe te lezen/gebruiken</w:t>
      </w:r>
    </w:p>
    <w:p>
      <w:pPr>
        <w:numPr>
          <w:ilvl w:val="0"/>
          <w:numId w:val="4"/>
        </w:numPr>
        <w:spacing w:lineRule="auto"/>
      </w:pPr>
      <w:r>
        <w:rPr/>
        <w:t xml:space="preserve">Stap 1: Controleer KO-eisen in PvA §Eisenmatrix en Bewijsregister.</w:t>
      </w:r>
    </w:p>
    <w:p>
      <w:pPr>
        <w:numPr>
          <w:ilvl w:val="0"/>
          <w:numId w:val="4"/>
        </w:numPr>
        <w:spacing w:lineRule="auto"/>
      </w:pPr>
      <w:r>
        <w:rPr/>
        <w:t xml:space="preserve">Stap 2: Beoordeel EMVI-bijdrage per criterium: PvA (Kwaliteit, Duurzaamheid, Risicobeheersing) en KPI-overzicht (Kwaliteit/SLA), Prijs in prijslijst (pricing locked).</w:t>
      </w:r>
    </w:p>
    <w:p>
      <w:pPr>
        <w:numPr>
          <w:ilvl w:val="0"/>
          <w:numId w:val="4"/>
        </w:numPr>
        <w:spacing w:lineRule="auto"/>
      </w:pPr>
      <w:r>
        <w:rPr/>
        <w:t xml:space="preserve">Stap 3: Volg W-werkpakketten voor scope-dekking en planning.</w:t>
      </w:r>
    </w:p>
    <w:p>
      <w:pPr>
        <w:numPr>
          <w:ilvl w:val="0"/>
          <w:numId w:val="4"/>
        </w:numPr>
        <w:spacing w:lineRule="auto"/>
      </w:pPr>
      <w:r>
        <w:rPr/>
        <w:t xml:space="preserve">Stap 4: Bekijk KPI-overzicht voor targets, meetmethode en rapportage.</w:t>
      </w:r>
    </w:p>
    <w:p>
      <w:pPr>
        <w:numPr>
          <w:ilvl w:val="0"/>
          <w:numId w:val="4"/>
        </w:numPr>
        <w:spacing w:lineRule="auto"/>
      </w:pPr>
      <w:r>
        <w:rPr/>
        <w:t xml:space="preserve">Stap 5: Raadpleeg Risicodossier voor restexposure en Act-acties.</w:t>
      </w:r>
    </w:p>
    <w:p>
      <w:pPr>
        <w:numPr>
          <w:ilvl w:val="0"/>
          <w:numId w:val="4"/>
        </w:numPr>
        <w:spacing w:lineRule="auto"/>
      </w:pPr>
      <w:r>
        <w:rPr/>
        <w:t xml:space="preserve">Stap 6: Gebruik escalatiematrix (PvA §Governance) voor incidenten/changes.</w:t>
      </w:r>
    </w:p>
    <w:p>
      <w:pPr>
        <w:spacing w:lineRule="auto"/>
      </w:pPr>
      <w:r>
        <w:rPr/>
        <w:t xml:space="preserve">Eisen en KO-check (SMART)</w:t>
      </w:r>
    </w:p>
    <w:p>
      <w:pPr>
        <w:numPr>
          <w:ilvl w:val="0"/>
          <w:numId w:val="5"/>
        </w:numPr>
        <w:spacing w:lineRule="auto"/>
      </w:pPr>
      <w:r>
        <w:rPr/>
        <w:t xml:space="preserve">KO: ISO 27001 gecertificeerd → Bewijs: actuele ISO 27001-certificaatkopie (Bewijsregister).</w:t>
      </w:r>
    </w:p>
    <w:p>
      <w:pPr>
        <w:numPr>
          <w:ilvl w:val="0"/>
          <w:numId w:val="5"/>
        </w:numPr>
        <w:spacing w:lineRule="auto"/>
      </w:pPr>
      <w:r>
        <w:rPr/>
        <w:t xml:space="preserve">KO: ISO 9001 gecertificeerd → Bewijs: actuele ISO 9001-certificaatkopie (Bewijsregister).</w:t>
      </w:r>
    </w:p>
    <w:p>
      <w:pPr>
        <w:numPr>
          <w:ilvl w:val="0"/>
          <w:numId w:val="5"/>
        </w:numPr>
        <w:spacing w:lineRule="auto"/>
      </w:pPr>
      <w:r>
        <w:rPr/>
        <w:t xml:space="preserve">KO: 24/7 bereikbaarheidsdienst → PvA §Supportmodel; KPI: P1 responstijd &lt; 30 min; Bewijs: roosters, oproepprocedures.</w:t>
      </w:r>
    </w:p>
    <w:p>
      <w:pPr>
        <w:numPr>
          <w:ilvl w:val="0"/>
          <w:numId w:val="5"/>
        </w:numPr>
        <w:spacing w:lineRule="auto"/>
      </w:pPr>
      <w:r>
        <w:rPr/>
        <w:t xml:space="preserve">Musts worden per W-werkpakket geborgd (zie onder).</w:t>
      </w:r>
    </w:p>
    <w:p>
      <w:pPr>
        <w:spacing w:lineRule="auto"/>
      </w:pPr>
      <w:r>
        <w:rPr/>
        <w:t xml:space="preserve">W-werkpakketten ↔ KPI ↔ Risico ↔ Bewijs</w:t>
      </w:r>
    </w:p>
    <w:p>
      <w:pPr>
        <w:numPr>
          <w:ilvl w:val="0"/>
          <w:numId w:val="6"/>
        </w:numPr>
        <w:spacing w:lineRule="auto"/>
      </w:pPr>
      <w:r>
        <w:rPr/>
        <w:t xml:space="preserve">W-01 Servicedesk &amp; ITIL-processen</w:t>
      </w:r>
    </w:p>
    <w:p>
      <w:pPr>
        <w:numPr>
          <w:ilvl w:val="1"/>
          <w:numId w:val="7"/>
        </w:numPr>
        <w:spacing w:lineRule="auto"/>
      </w:pPr>
      <w:r>
        <w:rPr/>
        <w:t xml:space="preserve">KPI: First Response P1 &lt; 30 min; First Time Fix &gt; X% (vastgelegd in KPI-overzicht).</w:t>
      </w:r>
    </w:p>
    <w:p>
      <w:pPr>
        <w:numPr>
          <w:ilvl w:val="1"/>
          <w:numId w:val="7"/>
        </w:numPr>
        <w:spacing w:lineRule="auto"/>
      </w:pPr>
      <w:r>
        <w:rPr/>
        <w:t xml:space="preserve">Risico: vertraagde triage → escalatieregels en capaciteitsbuffer.</w:t>
      </w:r>
    </w:p>
    <w:p>
      <w:pPr>
        <w:numPr>
          <w:ilvl w:val="1"/>
          <w:numId w:val="7"/>
        </w:numPr>
        <w:spacing w:lineRule="auto"/>
      </w:pPr>
      <w:r>
        <w:rPr/>
        <w:t xml:space="preserve">Bewijs: ITSM-rapporten, procesbeschrijvingen.</w:t>
      </w:r>
    </w:p>
    <w:p>
      <w:pPr>
        <w:numPr>
          <w:ilvl w:val="0"/>
          <w:numId w:val="6"/>
        </w:numPr>
        <w:spacing w:lineRule="auto"/>
      </w:pPr>
      <w:r>
        <w:rPr/>
        <w:t xml:space="preserve">W-02 24/7 P1 Incidentrespons</w:t>
      </w:r>
    </w:p>
    <w:p>
      <w:pPr>
        <w:numPr>
          <w:ilvl w:val="1"/>
          <w:numId w:val="8"/>
        </w:numPr>
        <w:spacing w:lineRule="auto"/>
      </w:pPr>
      <w:r>
        <w:rPr/>
        <w:t xml:space="preserve">KPI: P1 oplostijd &lt; 4 uur.</w:t>
      </w:r>
    </w:p>
    <w:p>
      <w:pPr>
        <w:numPr>
          <w:ilvl w:val="1"/>
          <w:numId w:val="8"/>
        </w:numPr>
        <w:spacing w:lineRule="auto"/>
      </w:pPr>
      <w:r>
        <w:rPr/>
        <w:t xml:space="preserve">Risico: onderbezetting buiten kantooruren → bereikbaarheidsrooster, runbooks.</w:t>
      </w:r>
    </w:p>
    <w:p>
      <w:pPr>
        <w:numPr>
          <w:ilvl w:val="1"/>
          <w:numId w:val="8"/>
        </w:numPr>
        <w:spacing w:lineRule="auto"/>
      </w:pPr>
      <w:r>
        <w:rPr/>
        <w:t xml:space="preserve">Bewijs: dienstroosters, P1-postmortems.</w:t>
      </w:r>
    </w:p>
    <w:p>
      <w:pPr>
        <w:numPr>
          <w:ilvl w:val="0"/>
          <w:numId w:val="6"/>
        </w:numPr>
        <w:spacing w:lineRule="auto"/>
      </w:pPr>
      <w:r>
        <w:rPr/>
        <w:t xml:space="preserve">W-03 Monitoring &amp; Patchmanagement</w:t>
      </w:r>
    </w:p>
    <w:p>
      <w:pPr>
        <w:numPr>
          <w:ilvl w:val="1"/>
          <w:numId w:val="9"/>
        </w:numPr>
        <w:spacing w:lineRule="auto"/>
      </w:pPr>
      <w:r>
        <w:rPr/>
        <w:t xml:space="preserve">KPI: Patch compliance &gt; 95% binnen 14 dagen kritieke patches; Monitoring coverage 100% kritieke assets.</w:t>
      </w:r>
    </w:p>
    <w:p>
      <w:pPr>
        <w:numPr>
          <w:ilvl w:val="1"/>
          <w:numId w:val="9"/>
        </w:numPr>
        <w:spacing w:lineRule="auto"/>
      </w:pPr>
      <w:r>
        <w:rPr/>
        <w:t xml:space="preserve">Risico: kwetsbaarheden → geautomatiseerde patching, CAB-goedkeuring.</w:t>
      </w:r>
    </w:p>
    <w:p>
      <w:pPr>
        <w:numPr>
          <w:ilvl w:val="1"/>
          <w:numId w:val="9"/>
        </w:numPr>
        <w:spacing w:lineRule="auto"/>
      </w:pPr>
      <w:r>
        <w:rPr/>
        <w:t xml:space="preserve">Bewijs: monitoring dashboards, patch-rapporten.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W-04 Beschikbaarheid &amp; Continuïteit (BCP)</w:t>
      </w:r>
    </w:p>
    <w:p>
      <w:pPr>
        <w:numPr>
          <w:ilvl w:val="1"/>
          <w:numId w:val="10"/>
        </w:numPr>
        <w:spacing w:lineRule="auto"/>
      </w:pPr>
      <w:r>
        <w:rPr/>
        <w:t xml:space="preserve">KPI: Beschikbaarheid kritieke systemen 99,8%/maand.</w:t>
      </w:r>
    </w:p>
    <w:p>
      <w:pPr>
        <w:numPr>
          <w:ilvl w:val="1"/>
          <w:numId w:val="10"/>
        </w:numPr>
        <w:spacing w:lineRule="auto"/>
      </w:pPr>
      <w:r>
        <w:rPr/>
        <w:t xml:space="preserve">Risico: single points of failure → redundantie, failover-tests.</w:t>
      </w:r>
    </w:p>
    <w:p>
      <w:pPr>
        <w:numPr>
          <w:ilvl w:val="1"/>
          <w:numId w:val="10"/>
        </w:numPr>
        <w:spacing w:lineRule="auto"/>
      </w:pPr>
      <w:r>
        <w:rPr/>
        <w:t xml:space="preserve">Bewijs: BCP, testverslagen, uptime-logs.</w:t>
      </w:r>
    </w:p>
    <w:p>
      <w:pPr>
        <w:numPr>
          <w:ilvl w:val="0"/>
          <w:numId w:val="6"/>
        </w:numPr>
        <w:spacing w:lineRule="auto"/>
      </w:pPr>
      <w:r>
        <w:rPr/>
        <w:t xml:space="preserve">W-05 Security &amp; EU-dataverwerking</w:t>
      </w:r>
    </w:p>
    <w:p>
      <w:pPr>
        <w:numPr>
          <w:ilvl w:val="1"/>
          <w:numId w:val="11"/>
        </w:numPr>
        <w:spacing w:lineRule="auto"/>
      </w:pPr>
      <w:r>
        <w:rPr/>
        <w:t xml:space="preserve">KPI: 100% dataresidentie binnen EU; 0 kritieke onopgeloste auditbevindingen &gt; 30 dagen.</w:t>
      </w:r>
    </w:p>
    <w:p>
      <w:pPr>
        <w:numPr>
          <w:ilvl w:val="1"/>
          <w:numId w:val="11"/>
        </w:numPr>
        <w:spacing w:lineRule="auto"/>
      </w:pPr>
      <w:r>
        <w:rPr/>
        <w:t xml:space="preserve">Risico: non-compliance → DPA, toegangsbeleid, logging.</w:t>
      </w:r>
    </w:p>
    <w:p>
      <w:pPr>
        <w:numPr>
          <w:ilvl w:val="1"/>
          <w:numId w:val="11"/>
        </w:numPr>
        <w:spacing w:lineRule="auto"/>
      </w:pPr>
      <w:r>
        <w:rPr/>
        <w:t xml:space="preserve">Bewijs: verwerkersovereenkomst, auditrapporten.</w:t>
      </w:r>
    </w:p>
    <w:p>
      <w:pPr>
        <w:numPr>
          <w:ilvl w:val="0"/>
          <w:numId w:val="6"/>
        </w:numPr>
        <w:spacing w:lineRule="auto"/>
      </w:pPr>
      <w:r>
        <w:rPr/>
        <w:t xml:space="preserve">W-06 M365 Ondersteuning</w:t>
      </w:r>
    </w:p>
    <w:p>
      <w:pPr>
        <w:numPr>
          <w:ilvl w:val="1"/>
          <w:numId w:val="12"/>
        </w:numPr>
        <w:spacing w:lineRule="auto"/>
      </w:pPr>
      <w:r>
        <w:rPr/>
        <w:t xml:space="preserve">KPI: Change lead time &lt; X werkdagen; incident backlog = 0 &gt; 30 dagen.</w:t>
      </w:r>
    </w:p>
    <w:p>
      <w:pPr>
        <w:numPr>
          <w:ilvl w:val="1"/>
          <w:numId w:val="12"/>
        </w:numPr>
        <w:spacing w:lineRule="auto"/>
      </w:pPr>
      <w:r>
        <w:rPr/>
        <w:t xml:space="preserve">Risico: configuratiefouten → change templates, staged roll-outs.</w:t>
      </w:r>
    </w:p>
    <w:p>
      <w:pPr>
        <w:numPr>
          <w:ilvl w:val="1"/>
          <w:numId w:val="12"/>
        </w:numPr>
        <w:spacing w:lineRule="auto"/>
      </w:pPr>
      <w:r>
        <w:rPr/>
        <w:t xml:space="preserve">Bewijs: change-logs, configuratiobaselines.</w:t>
      </w:r>
    </w:p>
    <w:p>
      <w:pPr>
        <w:spacing w:lineRule="auto"/>
      </w:pPr>
      <w:r>
        <w:rPr/>
        <w:t xml:space="preserve">EMVI-koppeling</w:t>
      </w:r>
    </w:p>
    <w:p>
      <w:pPr>
        <w:numPr>
          <w:ilvl w:val="0"/>
          <w:numId w:val="13"/>
        </w:numPr>
        <w:spacing w:lineRule="auto"/>
      </w:pPr>
      <w:r>
        <w:rPr/>
        <w:t xml:space="preserve">Kwaliteit (40%): PvA, KPI-overzicht, SLA-borging, ISO-processen.</w:t>
      </w:r>
    </w:p>
    <w:p>
      <w:pPr>
        <w:numPr>
          <w:ilvl w:val="0"/>
          <w:numId w:val="13"/>
        </w:numPr>
        <w:spacing w:lineRule="auto"/>
      </w:pPr>
      <w:r>
        <w:rPr/>
        <w:t xml:space="preserve">Duurzaamheid (20%): PvA §Duurzaamheid (digitaal-first, minimale reisbewegingen, groene stroom datacenters, e-waste).</w:t>
      </w:r>
    </w:p>
    <w:p>
      <w:pPr>
        <w:numPr>
          <w:ilvl w:val="0"/>
          <w:numId w:val="13"/>
        </w:numPr>
        <w:spacing w:lineRule="auto"/>
      </w:pPr>
      <w:r>
        <w:rPr/>
        <w:t xml:space="preserve">Risicobeheersing (20%): Risicodossier + PDCA-verbeterplan.</w:t>
      </w:r>
    </w:p>
    <w:p>
      <w:pPr>
        <w:numPr>
          <w:ilvl w:val="0"/>
          <w:numId w:val="13"/>
        </w:numPr>
        <w:spacing w:lineRule="auto"/>
      </w:pPr>
      <w:r>
        <w:rPr/>
        <w:t xml:space="preserve">Prijs (20%): prijslijst (pricing locked), aannames/uitsluitingen in PvA-bijlage.</w:t>
      </w:r>
    </w:p>
    <w:p>
      <w:pPr>
        <w:spacing w:lineRule="auto"/>
      </w:pPr>
      <w:r>
        <w:rPr/>
        <w:t xml:space="preserve">Assumpties, uitsluitingen, condities</w:t>
      </w:r>
    </w:p>
    <w:p>
      <w:pPr>
        <w:numPr>
          <w:ilvl w:val="0"/>
          <w:numId w:val="14"/>
        </w:numPr>
        <w:spacing w:lineRule="auto"/>
      </w:pPr>
      <w:r>
        <w:rPr/>
        <w:t xml:space="preserve">Assumpties: tijdige toegang/informatie, kantoortoegankelijkheid, tijdige besluitvorming, minimale netwerkeisen, legitieme licenties (PvA bijlage).</w:t>
      </w:r>
    </w:p>
    <w:p>
      <w:pPr>
        <w:numPr>
          <w:ilvl w:val="0"/>
          <w:numId w:val="14"/>
        </w:numPr>
        <w:spacing w:lineRule="auto"/>
      </w:pPr>
      <w:r>
        <w:rPr/>
        <w:t xml:space="preserve">Uitsluitingen: onsite hardwarebeheer (tenzij overeengekomen), third-party SaaS-support, projectmatig meerwerk, adoptietrainingen op verzoek.</w:t>
      </w:r>
    </w:p>
    <w:p>
      <w:pPr>
        <w:numPr>
          <w:ilvl w:val="0"/>
          <w:numId w:val="14"/>
        </w:numPr>
        <w:spacing w:lineRule="auto"/>
      </w:pPr>
      <w:r>
        <w:rPr/>
        <w:t xml:space="preserve">Garantie: 12 maanden op opgeleverde projectdeliverables; beheer conform SLA.</w:t>
      </w:r>
    </w:p>
    <w:p>
      <w:pPr>
        <w:spacing w:lineRule="auto"/>
      </w:pPr>
      <w:r>
        <w:rPr/>
        <w:t xml:space="preserve">Contact</w:t>
      </w:r>
    </w:p>
    <w:p>
      <w:pPr>
        <w:numPr>
          <w:ilvl w:val="0"/>
          <w:numId w:val="15"/>
        </w:numPr>
        <w:spacing w:lineRule="auto"/>
      </w:pPr>
      <w:r>
        <w:rPr/>
        <w:t xml:space="preserve">Uno Automatiseringdiensten B.V., Einsteinlaan 14, 2719 ER Zoetermeer, KVK 27172538, BTW NL8070.79.266.B01.</w:t>
      </w:r>
    </w:p>
    <w:p>
      <w:pPr>
        <w:numPr>
          <w:ilvl w:val="0"/>
          <w:numId w:val="15"/>
        </w:numPr>
        <w:spacing w:lineRule="auto"/>
      </w:pPr>
      <w:r>
        <w:rPr/>
        <w:t xml:space="preserve">Contact: Eric van de Vreugdenhil, +31 703300502.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16"/>
        </w:numPr>
        <w:spacing w:lineRule="auto"/>
      </w:pPr>
      <w:r>
        <w:rPr/>
        <w:t xml:space="preserve">Definitieve indieningstermijn en wijze van inzenden.</w:t>
      </w:r>
    </w:p>
    <w:p>
      <w:pPr>
        <w:numPr>
          <w:ilvl w:val="0"/>
          <w:numId w:val="16"/>
        </w:numPr>
        <w:spacing w:lineRule="auto"/>
      </w:pPr>
      <w:r>
        <w:rPr/>
        <w:t xml:space="preserve">Startdatum, looptijd en uitvoeringsvenster van de raamovereenkomst.</w:t>
      </w:r>
    </w:p>
    <w:p>
      <w:pPr>
        <w:numPr>
          <w:ilvl w:val="0"/>
          <w:numId w:val="16"/>
        </w:numPr>
        <w:spacing w:lineRule="auto"/>
      </w:pPr>
      <w:r>
        <w:rPr/>
        <w:t xml:space="preserve">Bevestiging opdrachtgever/locaties (NVAO vs. Gemeente Middenstad) en primaire contactpersonen.</w:t>
      </w:r>
    </w:p>
    <w:p>
      <w:pPr>
        <w:numPr>
          <w:ilvl w:val="0"/>
          <w:numId w:val="16"/>
        </w:numPr>
        <w:spacing w:lineRule="auto"/>
      </w:pPr>
      <w:r>
        <w:rPr/>
        <w:t xml:space="preserve">Gewenst KPI-rapportageformat en frequentie (standaard: maandelijks).</w:t>
      </w:r>
    </w:p>
    <w:p>
      <w:pPr>
        <w:numPr>
          <w:ilvl w:val="0"/>
          <w:numId w:val="16"/>
        </w:numPr>
        <w:spacing w:lineRule="auto"/>
      </w:pPr>
      <w:r>
        <w:rPr/>
        <w:t xml:space="preserve">Escalatiecontacten aan opdrachtgeverzijde (operationeel, tactisch, strategisch).</w:t>
      </w:r>
    </w:p>
    <w:p>
      <w:pPr>
        <w:numPr>
          <w:ilvl w:val="0"/>
          <w:numId w:val="16"/>
        </w:numPr>
        <w:spacing w:lineRule="auto"/>
      </w:pPr>
      <w:r>
        <w:rPr/>
        <w:t xml:space="preserve">Bevestiging VOG-eisen en doelgroep.</w:t>
      </w:r>
    </w:p>
    <w:p>
      <w:pPr>
        <w:numPr>
          <w:ilvl w:val="0"/>
          <w:numId w:val="16"/>
        </w:numPr>
        <w:spacing w:lineRule="auto"/>
      </w:pPr>
      <w:r>
        <w:rPr/>
        <w:t xml:space="preserve">Eventuele aanvullende security- en privacyvoorwaarden (DPA/BI, classificaties).</w:t>
      </w:r>
    </w:p>
    <w:p>
      <w:pPr>
        <w:numPr>
          <w:ilvl w:val="0"/>
          <w:numId w:val="16"/>
        </w:numPr>
        <w:spacing w:lineRule="auto"/>
      </w:pPr>
      <w:r>
        <w:rPr/>
        <w:t xml:space="preserve">Correct e-mailadres contactpersoon opdrachtgever en leverancier (verificatie).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— Lees Mij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