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– Risicoregister Uno Automatiseringsdiensten B.V. voor Raamovereenkomst Catering- en Horecadiensten voor Gemeente Middenstad (Project 1380)</w:t>
      </w:r>
    </w:p>
    <w:p>
      <w:pPr>
        <w:spacing w:lineRule="auto"/>
      </w:pPr>
      <w:r>
        <w:rPr/>
        <w:t xml:space="preserve">Scoringsmethodiek:</w:t>
      </w:r>
    </w:p>
    <w:p>
      <w:pPr>
        <w:numPr>
          <w:ilvl w:val="0"/>
          <w:numId w:val="1"/>
        </w:numPr>
        <w:spacing w:lineRule="auto"/>
      </w:pPr>
      <w:r>
        <w:rPr/>
        <w:t xml:space="preserve">Kans: 1 (zeer laag) – 5 (zeer hoog)</w:t>
      </w:r>
    </w:p>
    <w:p>
      <w:pPr>
        <w:numPr>
          <w:ilvl w:val="0"/>
          <w:numId w:val="1"/>
        </w:numPr>
        <w:spacing w:lineRule="auto"/>
      </w:pPr>
      <w:r>
        <w:rPr/>
        <w:t xml:space="preserve">Impact: 1 (beperkt) – 5 (kritiek op dienstverlening/continuïteit)</w:t>
      </w:r>
    </w:p>
    <w:p>
      <w:pPr>
        <w:numPr>
          <w:ilvl w:val="0"/>
          <w:numId w:val="1"/>
        </w:numPr>
        <w:spacing w:lineRule="auto"/>
      </w:pPr>
      <w:r>
        <w:rPr/>
        <w:t xml:space="preserve">Score = Kans x Impact. Risico’s met score ≥12 krijgen versnelde opvolging via de maandelijkse PDCA-review.</w:t>
      </w:r>
    </w:p>
    <w:p>
      <w:pPr>
        <w:spacing w:lineRule="auto"/>
      </w:pPr>
      <w:r>
        <w:rPr/>
        <w:t xml:space="preserve">KPI-overzicht (sturing en bewijs):</w:t>
      </w:r>
    </w:p>
    <w:p>
      <w:pPr>
        <w:numPr>
          <w:ilvl w:val="0"/>
          <w:numId w:val="2"/>
        </w:numPr>
        <w:spacing w:lineRule="auto"/>
      </w:pPr>
      <w:r>
        <w:rPr/>
        <w:t xml:space="preserve">KPI-01 Beschikbaarheid kritieke systemen ≥ 99,8% per maand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KPI-02 Responstijd P1 &lt; 30 min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KPI-03 Oplostijd P1 &lt; 4 uur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KPI-04 Patch compliance kritisch ≥ 95% binnen 14 dagen</w:t>
      </w:r>
    </w:p>
    <w:p>
      <w:pPr>
        <w:numPr>
          <w:ilvl w:val="0"/>
          <w:numId w:val="2"/>
        </w:numPr>
        <w:spacing w:lineRule="auto"/>
      </w:pPr>
      <w:r>
        <w:rPr/>
        <w:t xml:space="preserve">KPI-05 Back-up succesratio ≥ 99%, hersteltests per kwartaal</w:t>
      </w:r>
    </w:p>
    <w:p>
      <w:pPr>
        <w:numPr>
          <w:ilvl w:val="0"/>
          <w:numId w:val="2"/>
        </w:numPr>
        <w:spacing w:lineRule="auto"/>
      </w:pPr>
      <w:r>
        <w:rPr/>
        <w:t xml:space="preserve">KPI-06 Aantal security-incidenten met dataverlies = 0</w:t>
      </w:r>
    </w:p>
    <w:p>
      <w:pPr>
        <w:numPr>
          <w:ilvl w:val="0"/>
          <w:numId w:val="2"/>
        </w:numPr>
        <w:spacing w:lineRule="auto"/>
      </w:pPr>
      <w:r>
        <w:rPr/>
        <w:t xml:space="preserve">KPI-07 Changesucces ≥ 98% zonder ongeplande downtime</w:t>
      </w:r>
    </w:p>
    <w:p>
      <w:pPr>
        <w:numPr>
          <w:ilvl w:val="0"/>
          <w:numId w:val="2"/>
        </w:numPr>
        <w:spacing w:lineRule="auto"/>
      </w:pPr>
      <w:r>
        <w:rPr/>
        <w:t xml:space="preserve">KPI-08 Monitoring coverage = 100% van in-scope assets</w:t>
      </w:r>
    </w:p>
    <w:p>
      <w:pPr>
        <w:numPr>
          <w:ilvl w:val="0"/>
          <w:numId w:val="2"/>
        </w:numPr>
        <w:spacing w:lineRule="auto"/>
      </w:pPr>
      <w:r>
        <w:rPr/>
        <w:t xml:space="preserve">KPI-09 EU data residency = 100%</w:t>
      </w:r>
    </w:p>
    <w:p>
      <w:pPr>
        <w:numPr>
          <w:ilvl w:val="0"/>
          <w:numId w:val="2"/>
        </w:numPr>
        <w:spacing w:lineRule="auto"/>
      </w:pPr>
      <w:r>
        <w:rPr/>
        <w:t xml:space="preserve">KPI-10 CSAT ≥ 8,0/10</w:t>
      </w:r>
    </w:p>
    <w:p>
      <w:pPr>
        <w:numPr>
          <w:ilvl w:val="0"/>
          <w:numId w:val="2"/>
        </w:numPr>
        <w:spacing w:lineRule="auto"/>
      </w:pPr>
      <w:r>
        <w:rPr/>
        <w:t xml:space="preserve">KPI-11 SLA-rapportage tijdig 100% (uiterlijk 5e werkdag maand)</w:t>
      </w:r>
    </w:p>
    <w:p>
      <w:pPr>
        <w:numPr>
          <w:ilvl w:val="0"/>
          <w:numId w:val="2"/>
        </w:numPr>
        <w:spacing w:lineRule="auto"/>
      </w:pPr>
      <w:r>
        <w:rPr/>
        <w:t xml:space="preserve">KPI-12 Kritieke kwetsbaarheden verholpen binnen 7 dagen ≥ 95%</w:t>
      </w:r>
    </w:p>
    <w:p>
      <w:pPr>
        <w:spacing w:lineRule="auto"/>
      </w:pPr>
      <w:r>
        <w:rPr/>
        <w:t xml:space="preserve">Werkpakketten (W-xx) voor uitvoering:</w:t>
      </w:r>
    </w:p>
    <w:p>
      <w:pPr>
        <w:numPr>
          <w:ilvl w:val="0"/>
          <w:numId w:val="3"/>
        </w:numPr>
        <w:spacing w:lineRule="auto"/>
      </w:pPr>
      <w:r>
        <w:rPr/>
        <w:t xml:space="preserve">W-01 24/7 NOC &amp; monitoring</w:t>
      </w:r>
    </w:p>
    <w:p>
      <w:pPr>
        <w:numPr>
          <w:ilvl w:val="0"/>
          <w:numId w:val="3"/>
        </w:numPr>
        <w:spacing w:lineRule="auto"/>
      </w:pPr>
      <w:r>
        <w:rPr/>
        <w:t xml:space="preserve">W-02 Incidentmanagement (ITIL) P1–P3</w:t>
      </w:r>
    </w:p>
    <w:p>
      <w:pPr>
        <w:numPr>
          <w:ilvl w:val="0"/>
          <w:numId w:val="3"/>
        </w:numPr>
        <w:spacing w:lineRule="auto"/>
      </w:pPr>
      <w:r>
        <w:rPr/>
        <w:t xml:space="preserve">W-03 Patch- en changemanagement</w:t>
      </w:r>
    </w:p>
    <w:p>
      <w:pPr>
        <w:numPr>
          <w:ilvl w:val="0"/>
          <w:numId w:val="3"/>
        </w:numPr>
        <w:spacing w:lineRule="auto"/>
      </w:pPr>
      <w:r>
        <w:rPr/>
        <w:t xml:space="preserve">W-04 Continuïteit/BCP &amp; DR-oefeningen</w:t>
      </w:r>
    </w:p>
    <w:p>
      <w:pPr>
        <w:numPr>
          <w:ilvl w:val="0"/>
          <w:numId w:val="3"/>
        </w:numPr>
        <w:spacing w:lineRule="auto"/>
      </w:pPr>
      <w:r>
        <w:rPr/>
        <w:t xml:space="preserve">W-05 Security &amp; compliance (ISO 27001)</w:t>
      </w:r>
    </w:p>
    <w:p>
      <w:pPr>
        <w:numPr>
          <w:ilvl w:val="0"/>
          <w:numId w:val="3"/>
        </w:numPr>
        <w:spacing w:lineRule="auto"/>
      </w:pPr>
      <w:r>
        <w:rPr/>
        <w:t xml:space="preserve">W-06 Data residency EU-borging</w:t>
      </w:r>
    </w:p>
    <w:p>
      <w:pPr>
        <w:numPr>
          <w:ilvl w:val="0"/>
          <w:numId w:val="3"/>
        </w:numPr>
        <w:spacing w:lineRule="auto"/>
      </w:pPr>
      <w:r>
        <w:rPr/>
        <w:t xml:space="preserve">W-07 Servicedesk &amp; escalaties (ITIL)</w:t>
      </w:r>
    </w:p>
    <w:p>
      <w:pPr>
        <w:numPr>
          <w:ilvl w:val="0"/>
          <w:numId w:val="3"/>
        </w:numPr>
        <w:spacing w:lineRule="auto"/>
      </w:pPr>
      <w:r>
        <w:rPr/>
        <w:t xml:space="preserve">W-08 Vendor- en contractmanagement</w:t>
      </w:r>
    </w:p>
    <w:p>
      <w:pPr>
        <w:numPr>
          <w:ilvl w:val="0"/>
          <w:numId w:val="3"/>
        </w:numPr>
        <w:spacing w:lineRule="auto"/>
      </w:pPr>
      <w:r>
        <w:rPr/>
        <w:t xml:space="preserve">W-09 Capaciteit- &amp; performancemanagement</w:t>
      </w:r>
    </w:p>
    <w:p>
      <w:pPr>
        <w:numPr>
          <w:ilvl w:val="0"/>
          <w:numId w:val="3"/>
        </w:numPr>
        <w:spacing w:lineRule="auto"/>
      </w:pPr>
      <w:r>
        <w:rPr/>
        <w:t xml:space="preserve">W-10 Onboarding &amp; kennisborging</w:t>
      </w:r>
    </w:p>
    <w:p>
      <w:pPr>
        <w:numPr>
          <w:ilvl w:val="0"/>
          <w:numId w:val="3"/>
        </w:numPr>
        <w:spacing w:lineRule="auto"/>
      </w:pPr>
      <w:r>
        <w:rPr/>
        <w:t xml:space="preserve">W-11 Governance &amp; rapportage (SLA/CSAT)</w:t>
      </w:r>
    </w:p>
    <w:p>
      <w:pPr>
        <w:numPr>
          <w:ilvl w:val="0"/>
          <w:numId w:val="3"/>
        </w:numPr>
        <w:spacing w:lineRule="auto"/>
      </w:pPr>
      <w:r>
        <w:rPr/>
        <w:t xml:space="preserve">W-12 Microsoft 365 beheer &amp; security</w:t>
      </w:r>
    </w:p>
    <w:p>
      <w:pPr>
        <w:numPr>
          <w:ilvl w:val="0"/>
          <w:numId w:val="3"/>
        </w:numPr>
        <w:spacing w:lineRule="auto"/>
      </w:pPr>
      <w:r>
        <w:rPr/>
        <w:t xml:space="preserve">W-13 Endpoint/EDR beheer</w:t>
      </w:r>
    </w:p>
    <w:p>
      <w:pPr>
        <w:numPr>
          <w:ilvl w:val="0"/>
          <w:numId w:val="3"/>
        </w:numPr>
        <w:spacing w:lineRule="auto"/>
      </w:pPr>
      <w:r>
        <w:rPr/>
        <w:t xml:space="preserve">W-14 Documentatie &amp; bewijsvorming</w:t>
      </w:r>
    </w:p>
    <w:p>
      <w:pPr>
        <w:spacing w:lineRule="auto"/>
      </w:pPr>
      <w:r>
        <w:rPr/>
        <w:t xml:space="preserve">Bewijsbronnen (controleerbaar):</w:t>
      </w:r>
    </w:p>
    <w:p>
      <w:pPr>
        <w:numPr>
          <w:ilvl w:val="0"/>
          <w:numId w:val="4"/>
        </w:numPr>
        <w:spacing w:lineRule="auto"/>
      </w:pPr>
      <w:r>
        <w:rPr/>
        <w:t xml:space="preserve">SLA- en KPI-rapportages (W-11), changekalender en CAB-notulen (W-03), monitoring- en incidentlogs (W-01/W-02), BCP/DR-testverslagen (W-04), ISO 27001/9001 certificaten (W-05), verwerkersovereenkomst + DPIA’s (W-06), patch- en vulnerability-rapportages (W-03), back-up en restore-rapporten (W-04), CSAT-enquêtes (W-11), VOG-register en toegangsmatrix (W-05).</w:t>
      </w:r>
    </w:p>
    <w:p>
      <w:pPr>
        <w:spacing w:lineRule="auto"/>
      </w:pPr>
      <w:r>
        <w:rPr/>
        <w:t xml:space="preserve">Risicoregister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(SMART, PDCA + Bewijs)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Onvoldoende beschikbaarheid (&lt;99,8%) door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definieer kritieke services en HA-architectuur met RTO≤4u/RPO≤1u voor scope, gereed 30 dagen na start. Do: 24/7 monitoring, auto-remediation, failoverprocedures; implementatie binnen 45 dagen. Check: maandelijkse beschikbaarheidsrapporten; drempel alert bij 99,9%→ root cause. Act: binnen 10 werkdagen na incident: PIR en structurele maatregel. Bewijs: SLA-rapport, PIR, monitoringlogs.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KPI-11 / W-01, W-04,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Responstijd P1 &gt;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definieer P1-triggers en paging-schema 24/7; hard in SLA-tool, gereed binnen 14 dagen. Do: war room-protocol en first-call ownership. Check: wekelijkse steekproef 10 P1/P2 tickets. Act: hertraining binnen 5 werkdagen bij afwijking; escalatielijst bijgewerkt binnen 24u. Bewijs: incidentlog, on-call rooster.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Teamlead Servicedesk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 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 / W-02,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Oplostijd P1 &gt;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runbooks voor top-10 P1-scenario’s, vendor-EAs met 1u response, afgerond binnen 30 dagen. Do: swarming model, parallel vendor-escalatie. Check: maandelijkse TTR-analyse. Act: bij TTR&gt;4u: probleemrecord en change binnen 15 werkdagen. Bewijs: TTR-rapport, CAB-notulen.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KPI-03, KPI-07 / W-02, W-03,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Patchachterstand en kwetsbaarheden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patchbeleid: kritisch ≤14 dagen; VA-scan 2-wekelijks; gereed dag 10. Do: change windows 2x per maand; emergency patching binnen 48u. Check: patch compliance-rapport wekelijks. Act: non-compliance &gt;5% → escalatie naar CAB binnen 5 werkdagen. Bewijs: VA-rapporten, patchdashboard.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KPI-04, KPI-12 /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Data buiten EU verwerkt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datastromenkaart en leveranciersreview; EU-only contractclausules binnen 30 dagen. Do: geo-locking en DLP in M365; logging op data-export. Check: kwartaalreview verwerkersovereenkomsten. Act: afwijking → binnen 24u blokkeren, DPIA-update binnen 5 werkdagen. Bewijs: verwerkersovereenkomst, DPIA, configuratie-screens.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 (CISO)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 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KPI-09, KPI-06 / W-05, W-06,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Onvoldoende monitoring coverage (blinde vlekken)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CMDB-baseline + auto-discovery; 100% asset coverage binnen 30 dagen. Do: healthchecks en synthetic probes; alert-tuning binnen 7 dagen per nieuwe asset. Check: maandelijkse gap-analyse CMDB vs. monitor. Act: gaps &gt;0 → binnen 5 werkdagen ingeregeld. Bewijs: CMDB-export, monitoringcoverage-rapport.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 / W-01,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Capaciteitsproblemen (CPU/RAM/storage/netwerk)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drempelwaarden (80% early, 90% critical) en capaciteitsrapportage maandelijks. Do: trendanalyse en scaling-changes per kwartaal. Check: maandelijkse review met opdrachtgever. Act: capacity breach → binnen 10 werkdagen mitigatieplan. Bewijs: performancedashboards, capacity reports.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 / W-09, W-03,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Ongecontroleerde changes veroorzaken verstoringen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CAB-kalender 2-wekelijks, risicobeoordeling; no change window voor piekperiodes van opdrachtgever. Do: standaard changes geautomatiseerd; non-std via CAB. Check: changesucces-rate maandelijks. Act: &lt;98% succes → herzien build/runbook binnen 10 werkdagen. Bewijs: CAB-notulen, changelog.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 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KPI-07, KPI-11 / W-03,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Continuïteit/BCP faalt; herstel niet tijdig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BIA en BCP afgestemd met gemeente; RTO/RPO per systeem, afgerond binnen 45 dagen. Do: DR-test 2x per jaar, back-up daily, restore test per kwartaal. Check: testverslagen en afwijkingen. Act: tekortkomingen opgelost binnen 20 werkdagen. Bewijs: BCP, DR-testverslag, backup logs.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Continuity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KPI-05, KPI-01 /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Endpointbeveiliging tekort (EDR), ransomware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EDR op 100% endpoints; policy “isolate on detect” binnen 30 dagen. Do: 24/7 SOC-triage, phishing-simulaties per kwartaal. Check: maandelijks EDR coverage en MTTD/MTTR. Act: incident → containment &lt;1u, volledige eradication binnen 24u; lessons learned binnen 10 werkdagen. Bewijs: EDR-rapporten, incident-PIR.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 (CISO)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KPI-08, KPI-12 / W-13,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Leveranciers leveren niet conform (ketenrisico)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underpinning contracts met SLA’s; escalatieniveaus vastgelegd binnen 30 dagen. Do: vendor QBR’s per kwartaal, performance tracking. Check: contract-KPI’s maandelijks. Act: bij non-performance: service credit of exit-plan binnen 20 werkdagen. Bewijs: contracten, QBR-notulen.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KPI-03, KPI-01 / W-08,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Escalaties en communicatie niet tijdig/duidelijk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RACI, escalatiematrix en communicatiesjablonen binnen 14 dagen. Do: war room-communicatie met update-cadans (bij P1: elke 30 min). Check: CSAT en post-incident survey. Act: communicatieklachten → aanpassing sjabloon en training binnen 10 werkdagen. Bewijs: escalatielijst, updates in ticket.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 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KPI-10, KPI-11 / W-07,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Privacy-incident/datalek of VOG-non-compliance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DPIA’s en dataclassificatie binnen 45 dagen; VOG-controle vooraf toegang. Do: meldprocedure AVG (≤72u); rechtenbeheer per functie. Check: kwartaal-audit toegang en VOG-register. Act: afwijking → direct toegang intrekken, datalek melden binnen 24u en oorzaken oplossen binnen 10 werkdagen. Bewijs: VOG-register, auditrapporten.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Officer (FG)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KPI-09 / W-05, 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Onboarding onvolledig → vertraging en fouten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30-60-90 dagen onboardingsplan incl. CMDB-vulling, klaar dag 7. Do: kennisoverdracht-sessies en documentatie W-14. Check: wekelijkse voortgang en acceptatiecriteria. Act: achterstand &gt;10% → resourcebijsturing binnen 5 werkdagen. Bewijs: onboarding-checklist, CMDB-status.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KPI-08, KPI-11 / W-10,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M365-misconfiguraties (phishing/uitval)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M365 baseline (MFA, CA, DKIM/DMARC, Safe Links/Attachments) binnen 30 dagen. Do: hardening en secure score ≥ 80 binnen 60 dagen. Check: maandelijkse Secure Score en auditlogs. Act: afwijking → policy-fix binnen 5 werkdagen; awarenesscampagnes per kwartaal. Bewijs: Secure Score-rapporten, auditlogs.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KPI-12, KPI-10 / W-12,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op knock-outs en musts (kruisverbanden):</w:t>
      </w:r>
    </w:p>
    <w:p>
      <w:pPr>
        <w:numPr>
          <w:ilvl w:val="0"/>
          <w:numId w:val="5"/>
        </w:numPr>
        <w:spacing w:lineRule="auto"/>
      </w:pPr>
      <w:r>
        <w:rPr/>
        <w:t xml:space="preserve">ISO 27001/9001 (KO) en ITIL-processen (must) zijn geborgd via W-05 en W-07; bewijs via certificaten en procesaudits. Deze mitigeren risico’s 4, 5, 8, 13 en 12.</w:t>
      </w:r>
    </w:p>
    <w:p>
      <w:pPr>
        <w:numPr>
          <w:ilvl w:val="0"/>
          <w:numId w:val="5"/>
        </w:numPr>
        <w:spacing w:lineRule="auto"/>
      </w:pPr>
      <w:r>
        <w:rPr/>
        <w:t xml:space="preserve">24/7 bereikbaarheidsdienst (KO) en P1-responstijd 30 min (must) zijn geborgd via W-01/W-02; mitigeren risico’s 2 en 3; bewijs via incidentlogs en on-call roosters.</w:t>
      </w:r>
    </w:p>
    <w:p>
      <w:pPr>
        <w:numPr>
          <w:ilvl w:val="0"/>
          <w:numId w:val="5"/>
        </w:numPr>
        <w:spacing w:lineRule="auto"/>
      </w:pPr>
      <w:r>
        <w:rPr/>
        <w:t xml:space="preserve">Beschikbaarheid 99,8% (must) via W-01/W-04/W-09; mitigeren risico’s 1 en 7; bewijs via SLA-rapporten.</w:t>
      </w:r>
    </w:p>
    <w:p>
      <w:pPr>
        <w:numPr>
          <w:ilvl w:val="0"/>
          <w:numId w:val="5"/>
        </w:numPr>
        <w:spacing w:lineRule="auto"/>
      </w:pPr>
      <w:r>
        <w:rPr/>
        <w:t xml:space="preserve">Monitoring &amp; patchmanagement (must) via W-01/W-03/W-14; mitigeren risico’s 4 en 6; bewijs via dashboards en changelog.</w:t>
      </w:r>
    </w:p>
    <w:p>
      <w:pPr>
        <w:numPr>
          <w:ilvl w:val="0"/>
          <w:numId w:val="5"/>
        </w:numPr>
        <w:spacing w:lineRule="auto"/>
      </w:pPr>
      <w:r>
        <w:rPr/>
        <w:t xml:space="preserve">EU-dataverwerking (must) via W-06; mitigeren risico 5; bewijs verwerkersovereenkomsten/DPIA’s.</w:t>
      </w:r>
    </w:p>
    <w:p>
      <w:pPr>
        <w:numPr>
          <w:ilvl w:val="0"/>
          <w:numId w:val="5"/>
        </w:numPr>
        <w:spacing w:lineRule="auto"/>
      </w:pPr>
      <w:r>
        <w:rPr/>
        <w:t xml:space="preserve">Escalatieprocedure en BCP (must) via W-07/W-04; mitigeren risico’s 3, 9 en 12; bewijs via escalatiematrix, BCP en DR-testverslagen.</w:t>
      </w:r>
    </w:p>
    <w:p>
      <w:pPr>
        <w:numPr>
          <w:ilvl w:val="0"/>
          <w:numId w:val="5"/>
        </w:numPr>
        <w:spacing w:lineRule="auto"/>
      </w:pPr>
      <w:r>
        <w:rPr/>
        <w:t xml:space="preserve">VOG (must) via W-05; mitigeren risico 13; bewijs VOG-register.</w:t>
      </w:r>
    </w:p>
    <w:p>
      <w:pPr>
        <w:numPr>
          <w:ilvl w:val="0"/>
          <w:numId w:val="5"/>
        </w:numPr>
        <w:spacing w:lineRule="auto"/>
      </w:pPr>
      <w:r>
        <w:rPr/>
        <w:t xml:space="preserve">Proactieve monitoring endpoints en M365-support (must) via W-13/W-12; mitigeren risico’s 10 en 15; bewijs EDR- en Secure Score-rapporten.</w:t>
      </w:r>
    </w:p>
    <w:p>
      <w:pPr>
        <w:spacing w:lineRule="auto"/>
      </w:pPr>
      <w:r>
        <w:rPr/>
        <w:t xml:space="preserve">PDCA-borging (procesniveau):</w:t>
      </w:r>
    </w:p>
    <w:p>
      <w:pPr>
        <w:numPr>
          <w:ilvl w:val="0"/>
          <w:numId w:val="6"/>
        </w:numPr>
        <w:spacing w:lineRule="auto"/>
      </w:pPr>
      <w:r>
        <w:rPr/>
        <w:t xml:space="preserve">Plan: jaarlijkse strategie- en risicoreview met Gemeente Middenstad in Q4; KPI-doelen bevestigd in SLA addendum.</w:t>
      </w:r>
    </w:p>
    <w:p>
      <w:pPr>
        <w:numPr>
          <w:ilvl w:val="0"/>
          <w:numId w:val="6"/>
        </w:numPr>
        <w:spacing w:lineRule="auto"/>
      </w:pPr>
      <w:r>
        <w:rPr/>
        <w:t xml:space="preserve">Do: uitvoering W-01 t/m W-14 met vaste cadence (dagelijks/wekelijkse operationele ritmes; maandelijkse rapportage).</w:t>
      </w:r>
    </w:p>
    <w:p>
      <w:pPr>
        <w:numPr>
          <w:ilvl w:val="0"/>
          <w:numId w:val="6"/>
        </w:numPr>
        <w:spacing w:lineRule="auto"/>
      </w:pPr>
      <w:r>
        <w:rPr/>
        <w:t xml:space="preserve">Check: maandelijkse SLA-review (KPI-rapport, PIR’s, auditbevindingen) en kwartaal-QBR met verbeterportfolio.</w:t>
      </w:r>
    </w:p>
    <w:p>
      <w:pPr>
        <w:numPr>
          <w:ilvl w:val="0"/>
          <w:numId w:val="6"/>
        </w:numPr>
        <w:spacing w:lineRule="auto"/>
      </w:pPr>
      <w:r>
        <w:rPr/>
        <w:t xml:space="preserve">Act: verbeteringen met eigenaar, budget en deadline (standaard ≤ 30 werkdagen) opgenomen in verbeterlog; opvolging via CAB/QBR.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7"/>
        </w:numPr>
        <w:spacing w:lineRule="auto"/>
      </w:pPr>
      <w:r>
        <w:rPr/>
        <w:t xml:space="preserve">Definitieve lijst kritieke systemen en scope (incl. locaties en openingstijden).</w:t>
      </w:r>
    </w:p>
    <w:p>
      <w:pPr>
        <w:numPr>
          <w:ilvl w:val="0"/>
          <w:numId w:val="7"/>
        </w:numPr>
        <w:spacing w:lineRule="auto"/>
      </w:pPr>
      <w:r>
        <w:rPr/>
        <w:t xml:space="preserve">Escalatielijst met contactpersonen en autorisaties (24/7).</w:t>
      </w:r>
    </w:p>
    <w:p>
      <w:pPr>
        <w:numPr>
          <w:ilvl w:val="0"/>
          <w:numId w:val="7"/>
        </w:numPr>
        <w:spacing w:lineRule="auto"/>
      </w:pPr>
      <w:r>
        <w:rPr/>
        <w:t xml:space="preserve">Changevensters en blackout-perioden van Gemeente Middenstad.</w:t>
      </w:r>
    </w:p>
    <w:p>
      <w:pPr>
        <w:numPr>
          <w:ilvl w:val="0"/>
          <w:numId w:val="7"/>
        </w:numPr>
        <w:spacing w:lineRule="auto"/>
      </w:pPr>
      <w:r>
        <w:rPr/>
        <w:t xml:space="preserve">Huidige leveranciers, contracten en contactpunten voor ketenafhankelijkheden.</w:t>
      </w:r>
    </w:p>
    <w:p>
      <w:pPr>
        <w:numPr>
          <w:ilvl w:val="0"/>
          <w:numId w:val="7"/>
        </w:numPr>
        <w:spacing w:lineRule="auto"/>
      </w:pPr>
      <w:r>
        <w:rPr/>
        <w:t xml:space="preserve">Bestaande BCP/BIA, prioritaire processen en RTO/RPO-wensen.</w:t>
      </w:r>
    </w:p>
    <w:p>
      <w:pPr>
        <w:numPr>
          <w:ilvl w:val="0"/>
          <w:numId w:val="7"/>
        </w:numPr>
        <w:spacing w:lineRule="auto"/>
      </w:pPr>
      <w:r>
        <w:rPr/>
        <w:t xml:space="preserve">M365 tenantinformatie en benodigde adminconsents.</w:t>
      </w:r>
    </w:p>
    <w:p>
      <w:pPr>
        <w:numPr>
          <w:ilvl w:val="0"/>
          <w:numId w:val="7"/>
        </w:numPr>
        <w:spacing w:lineRule="auto"/>
      </w:pPr>
      <w:r>
        <w:rPr/>
        <w:t xml:space="preserve">Data residency voorkeuren (EU-regio’s) en bestaande verwerkersovereenkomsten.</w:t>
      </w:r>
    </w:p>
    <w:p>
      <w:pPr>
        <w:numPr>
          <w:ilvl w:val="0"/>
          <w:numId w:val="7"/>
        </w:numPr>
        <w:spacing w:lineRule="auto"/>
      </w:pPr>
      <w:r>
        <w:rPr/>
        <w:t xml:space="preserve">Securitybeleid, DPIA’s en eisen t.a.v. logging/bewaring.</w:t>
      </w:r>
    </w:p>
    <w:p>
      <w:pPr>
        <w:numPr>
          <w:ilvl w:val="0"/>
          <w:numId w:val="7"/>
        </w:numPr>
        <w:spacing w:lineRule="auto"/>
      </w:pPr>
      <w:r>
        <w:rPr/>
        <w:t xml:space="preserve">Vereisten rond VOG-proces en toegang tot locaties.</w:t>
      </w:r>
    </w:p>
    <w:p>
      <w:pPr>
        <w:numPr>
          <w:ilvl w:val="0"/>
          <w:numId w:val="7"/>
        </w:numPr>
        <w:spacing w:lineRule="auto"/>
      </w:pPr>
      <w:r>
        <w:rPr/>
        <w:t xml:space="preserve">Gewenst format en ontvangers voor SLA-rapportage (deadline: 5e werkdag).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