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– Digital Ease B.V. – Referentie: GV-IT-2026-001</w:t>
      </w:r>
    </w:p>
    <w:p>
      <w:pPr>
        <w:numPr>
          <w:ilvl w:val="0"/>
          <w:numId w:val="1"/>
        </w:numPr>
        <w:spacing w:lineRule="auto"/>
      </w:pPr>
      <w:r>
        <w:rPr/>
        <w:t xml:space="preserve">Toepasselijkheid en scope</w:t>
      </w:r>
    </w:p>
    <w:p>
      <w:pPr>
        <w:numPr>
          <w:ilvl w:val="0"/>
          <w:numId w:val="2"/>
        </w:numPr>
        <w:spacing w:lineRule="auto"/>
      </w:pPr>
      <w:r>
        <w:rPr/>
        <w:t xml:space="preserve">Scope-clarificatie: dit document ziet op IT-beheer, -onderhoud en -beveiliging (cloud/infrastructuur) conform de KO/must/SLA-eisen in de aanbesteding. Titelincongruentie (“Catering- en Horecadiensten”) wordt geacht een administratieve vergissing. Indien de feitelijke scope catering/horeca betreft, is dit document niet van toepassing en vervalt zonder kosten.</w:t>
      </w:r>
    </w:p>
    <w:p>
      <w:pPr>
        <w:numPr>
          <w:ilvl w:val="0"/>
          <w:numId w:val="2"/>
        </w:numPr>
        <w:spacing w:lineRule="auto"/>
      </w:pPr>
      <w:r>
        <w:rPr/>
        <w:t xml:space="preserve">Raamovereenkomst: dienstverlening op basis van raamovereenkomst (diensten) met inzet 24/7 bereikbaarheidsdienst voor P1, conform EMVI-kaders.</w:t>
      </w:r>
    </w:p>
    <w:p>
      <w:pPr>
        <w:numPr>
          <w:ilvl w:val="0"/>
          <w:numId w:val="2"/>
        </w:numPr>
        <w:spacing w:lineRule="auto"/>
      </w:pPr>
      <w:r>
        <w:rPr/>
        <w:t xml:space="preserve">Voorrang: bij interpretatieverschillen prevaleren aanbestedingsstukken. Dit document geeft aannames, uitsluitingen en financiële consequenties transparant weer.</w:t>
      </w:r>
    </w:p>
    <w:p>
      <w:pPr>
        <w:numPr>
          <w:ilvl w:val="0"/>
          <w:numId w:val="3"/>
        </w:numPr>
        <w:spacing w:lineRule="auto"/>
      </w:pPr>
      <w:r>
        <w:rPr/>
        <w:t xml:space="preserve">Operationele aannames (SMART en PDCA)</w:t>
      </w:r>
    </w:p>
    <w:p>
      <w:pPr>
        <w:numPr>
          <w:ilvl w:val="0"/>
          <w:numId w:val="4"/>
        </w:numPr>
        <w:spacing w:lineRule="auto"/>
      </w:pPr>
      <w:r>
        <w:rPr/>
        <w:t xml:space="preserve">Toegangen en informatie (P): opdrachtgever levert tijdig accounts, autorisaties, netwerktekeningen en CMDB (D: binnen 5 werkdagen na gunning; C: check in kick-off; A: escalatie naar stuurgroep na 2 werkdagen vertraging).</w:t>
      </w:r>
    </w:p>
    <w:p>
      <w:pPr>
        <w:numPr>
          <w:ilvl w:val="0"/>
          <w:numId w:val="4"/>
        </w:numPr>
        <w:spacing w:lineRule="auto"/>
      </w:pPr>
      <w:r>
        <w:rPr/>
        <w:t xml:space="preserve">Locatietoegang (P): toegang tot alle locaties binnen kantoortijden en gepland voor changes buiten productie (D: vensters do–vr 20:00–06:00; C: change-kalender; A: herplannen + impactanalyse).</w:t>
      </w:r>
    </w:p>
    <w:p>
      <w:pPr>
        <w:numPr>
          <w:ilvl w:val="0"/>
          <w:numId w:val="4"/>
        </w:numPr>
        <w:spacing w:lineRule="auto"/>
      </w:pPr>
      <w:r>
        <w:rPr/>
        <w:t xml:space="preserve">Connectiviteit (P): internet- en LAN-verbindingen voldoen aan minimale eisen (≥100 Mbps, latency &lt;30 ms binnen NL) (D: pre-check; C: meetrapport; A: mitigatie/advies upgrade).</w:t>
      </w:r>
    </w:p>
    <w:p>
      <w:pPr>
        <w:numPr>
          <w:ilvl w:val="0"/>
          <w:numId w:val="4"/>
        </w:numPr>
        <w:spacing w:lineRule="auto"/>
      </w:pPr>
      <w:r>
        <w:rPr/>
        <w:t xml:space="preserve">Licenties (P): rechtmatige Microsoft 365- en overige licenties door opdrachtgever of inkoop via Digital Ease (D: licentie-audit; C: SAM-rapport; A: non-compliance-ticket).</w:t>
      </w:r>
    </w:p>
    <w:p>
      <w:pPr>
        <w:numPr>
          <w:ilvl w:val="0"/>
          <w:numId w:val="4"/>
        </w:numPr>
        <w:spacing w:lineRule="auto"/>
      </w:pPr>
      <w:r>
        <w:rPr/>
        <w:t xml:space="preserve">Dataruimte EU (P): alle data binnen EU, subverwerkers binnen EER (D: DPA’s; C: jaarlijkse controle; A: stopzetting datastromen buiten EU).</w:t>
      </w:r>
    </w:p>
    <w:p>
      <w:pPr>
        <w:numPr>
          <w:ilvl w:val="0"/>
          <w:numId w:val="4"/>
        </w:numPr>
        <w:spacing w:lineRule="auto"/>
      </w:pPr>
      <w:r>
        <w:rPr/>
        <w:t xml:space="preserve">Besluitvorming (P): besluiten binnen afgesproken termijnen (D: 5 werkdagen standaard; C: besluitlog; A: escalatie-ladder).</w:t>
      </w:r>
    </w:p>
    <w:p>
      <w:pPr>
        <w:numPr>
          <w:ilvl w:val="0"/>
          <w:numId w:val="4"/>
        </w:numPr>
        <w:spacing w:lineRule="auto"/>
      </w:pPr>
      <w:r>
        <w:rPr/>
        <w:t xml:space="preserve">Onsite hardware (P): levering/beheer on-prem hardware uitsluitend indien separaat overeengekomen (D: separate PO; C: aftekenlijst; A: uit scope).</w:t>
      </w:r>
    </w:p>
    <w:p>
      <w:pPr>
        <w:numPr>
          <w:ilvl w:val="0"/>
          <w:numId w:val="4"/>
        </w:numPr>
        <w:spacing w:lineRule="auto"/>
      </w:pPr>
      <w:r>
        <w:rPr/>
        <w:t xml:space="preserve">Third-party SaaS (P): functionele applicatiesupport ligt bij leverancier; wij leveren infra/connectiviteit en M365-administratie (C: RACI; A: warme overdracht).</w:t>
      </w:r>
    </w:p>
    <w:p>
      <w:pPr>
        <w:numPr>
          <w:ilvl w:val="0"/>
          <w:numId w:val="4"/>
        </w:numPr>
        <w:spacing w:lineRule="auto"/>
      </w:pPr>
      <w:r>
        <w:rPr/>
        <w:t xml:space="preserve">Monitoring &amp; patching (P): 100% kritieke endpoints en servers onder monitoring/EDR en patching (D: agent-deploy binnen 15 werkdagen; C: dekkingrapport; A: wave-2 deploy + onsite indien nodig).</w:t>
      </w:r>
    </w:p>
    <w:p>
      <w:pPr>
        <w:numPr>
          <w:ilvl w:val="0"/>
          <w:numId w:val="4"/>
        </w:numPr>
        <w:spacing w:lineRule="auto"/>
      </w:pPr>
      <w:r>
        <w:rPr/>
        <w:t xml:space="preserve">VOG (P): VOG verplicht voor onsite engineers op verzoek (D: registratie HR; C: steekproef; A: inzet enkel geverifieerd personeel).</w:t>
      </w:r>
    </w:p>
    <w:p>
      <w:pPr>
        <w:numPr>
          <w:ilvl w:val="0"/>
          <w:numId w:val="5"/>
        </w:numPr>
        <w:spacing w:lineRule="auto"/>
      </w:pPr>
      <w:r>
        <w:rPr/>
        <w:t xml:space="preserve">Juridische uitsluitingen en randvoorwaarden</w:t>
      </w:r>
    </w:p>
    <w:p>
      <w:pPr>
        <w:numPr>
          <w:ilvl w:val="0"/>
          <w:numId w:val="6"/>
        </w:numPr>
        <w:spacing w:lineRule="auto"/>
      </w:pPr>
      <w:r>
        <w:rPr/>
        <w:t xml:space="preserve">Compliance: ISO 27001, ISO 9001, NEN 7510 geborgd. Indien eisen conflicteren, geldt hoogste norm.</w:t>
      </w:r>
    </w:p>
    <w:p>
      <w:pPr>
        <w:numPr>
          <w:ilvl w:val="0"/>
          <w:numId w:val="6"/>
        </w:numPr>
        <w:spacing w:lineRule="auto"/>
      </w:pPr>
      <w:r>
        <w:rPr/>
        <w:t xml:space="preserve">AVG/DPA: verwerkersovereenkomst en subverwerkerslijst (Digital Ease, IT Infra Group, SecureOps NL) voorafgaand aan start. Geen doorgifte buiten EER.</w:t>
      </w:r>
    </w:p>
    <w:p>
      <w:pPr>
        <w:numPr>
          <w:ilvl w:val="0"/>
          <w:numId w:val="6"/>
        </w:numPr>
        <w:spacing w:lineRule="auto"/>
      </w:pPr>
      <w:r>
        <w:rPr/>
        <w:t xml:space="preserve">Aansprakelijkheid: conform aanbestedingsvoorwaarden; bij ontbreken daarvan: directe schade max. 100% jaarvergoeding, geen gevolgschade, overmacht uitgesloten van aansprakelijkheid.</w:t>
      </w:r>
    </w:p>
    <w:p>
      <w:pPr>
        <w:numPr>
          <w:ilvl w:val="0"/>
          <w:numId w:val="6"/>
        </w:numPr>
        <w:spacing w:lineRule="auto"/>
      </w:pPr>
      <w:r>
        <w:rPr/>
        <w:t xml:space="preserve">Intellectuele eigendom: eigen scripts/tooling blijven eigendom Digital Ease; configuraties en documentatie m.b.t. klantomgeving blijven eigendom opdrachtgever.</w:t>
      </w:r>
    </w:p>
    <w:p>
      <w:pPr>
        <w:numPr>
          <w:ilvl w:val="0"/>
          <w:numId w:val="6"/>
        </w:numPr>
        <w:spacing w:lineRule="auto"/>
      </w:pPr>
      <w:r>
        <w:rPr/>
        <w:t xml:space="preserve">Penetratietesten: uitsluitend na schriftelijke toestemming en afgestemd venster.</w:t>
      </w:r>
    </w:p>
    <w:p>
      <w:pPr>
        <w:numPr>
          <w:ilvl w:val="0"/>
          <w:numId w:val="6"/>
        </w:numPr>
        <w:spacing w:lineRule="auto"/>
      </w:pPr>
      <w:r>
        <w:rPr/>
        <w:t xml:space="preserve">Security-by-design: standaard least privilege, MFA verplicht voor beheerdersaccounts.</w:t>
      </w:r>
    </w:p>
    <w:p>
      <w:pPr>
        <w:numPr>
          <w:ilvl w:val="0"/>
          <w:numId w:val="6"/>
        </w:numPr>
        <w:spacing w:lineRule="auto"/>
      </w:pPr>
      <w:r>
        <w:rPr/>
        <w:t xml:space="preserve">Exit/retourdata: bij einde overeenkomst overdracht in gangbare formaten; datawiping conform NIST 800-88 op verzoek.</w:t>
      </w:r>
    </w:p>
    <w:p>
      <w:pPr>
        <w:numPr>
          <w:ilvl w:val="0"/>
          <w:numId w:val="7"/>
        </w:numPr>
        <w:spacing w:lineRule="auto"/>
      </w:pPr>
      <w:r>
        <w:rPr/>
        <w:t xml:space="preserve">Financiële consequenties en tarieven</w:t>
      </w:r>
    </w:p>
    <w:p>
      <w:pPr>
        <w:numPr>
          <w:ilvl w:val="0"/>
          <w:numId w:val="8"/>
        </w:numPr>
        <w:spacing w:lineRule="auto"/>
      </w:pPr>
      <w:r>
        <w:rPr/>
        <w:t xml:space="preserve">Prijzen: tarieven vast (pricing locked) gedurende eerste 12 maanden; jaarlijkse indexatie per 1-1 op CBS CPI Alle Huishoudens (negatief uitgesloten, cap 5% p.j.).</w:t>
      </w:r>
    </w:p>
    <w:p>
      <w:pPr>
        <w:numPr>
          <w:ilvl w:val="0"/>
          <w:numId w:val="8"/>
        </w:numPr>
        <w:spacing w:lineRule="auto"/>
      </w:pPr>
      <w:r>
        <w:rPr/>
        <w:t xml:space="preserve">Out-of-scope/meerwerk: vooraf geaccordeerd, urencalculatie tegen afgesproken uurtarieven; changes buiten onderhoudsvenster: +25% toeslag; storingen veroorzaakt door derde partijen: doorbelasting.</w:t>
      </w:r>
    </w:p>
    <w:p>
      <w:pPr>
        <w:numPr>
          <w:ilvl w:val="0"/>
          <w:numId w:val="8"/>
        </w:numPr>
        <w:spacing w:lineRule="auto"/>
      </w:pPr>
      <w:r>
        <w:rPr/>
        <w:t xml:space="preserve">Onsite interventies: reistijd/–kosten conform staffel NL; spoed onsite binnen 4 uur: +35% toeslag.</w:t>
      </w:r>
    </w:p>
    <w:p>
      <w:pPr>
        <w:numPr>
          <w:ilvl w:val="0"/>
          <w:numId w:val="8"/>
        </w:numPr>
        <w:spacing w:lineRule="auto"/>
      </w:pPr>
      <w:r>
        <w:rPr/>
        <w:t xml:space="preserve">Service credits (voorstel, indien niet strijdig met aanbestedingsvoorwaarden):</w:t>
      </w:r>
    </w:p>
    <w:p>
      <w:pPr>
        <w:numPr>
          <w:ilvl w:val="1"/>
          <w:numId w:val="9"/>
        </w:numPr>
        <w:spacing w:lineRule="auto"/>
      </w:pPr>
      <w:r>
        <w:rPr/>
        <w:t xml:space="preserve">Beschikbaarheid: bij &lt;99,8%: 5% maandfee per 0,1% tekort, max. 20%.</w:t>
      </w:r>
    </w:p>
    <w:p>
      <w:pPr>
        <w:numPr>
          <w:ilvl w:val="1"/>
          <w:numId w:val="9"/>
        </w:numPr>
        <w:spacing w:lineRule="auto"/>
      </w:pPr>
      <w:r>
        <w:rPr/>
        <w:t xml:space="preserve">P1-responstijd: 2% per incident &gt;30 min, max. 10% per maand.</w:t>
      </w:r>
    </w:p>
    <w:p>
      <w:pPr>
        <w:numPr>
          <w:ilvl w:val="1"/>
          <w:numId w:val="9"/>
        </w:numPr>
        <w:spacing w:lineRule="auto"/>
      </w:pPr>
      <w:r>
        <w:rPr/>
        <w:t xml:space="preserve">P1-oplostijd: 2% per incident &gt;4 uur, max. 10% per maand.</w:t>
      </w:r>
    </w:p>
    <w:p>
      <w:pPr>
        <w:numPr>
          <w:ilvl w:val="0"/>
          <w:numId w:val="8"/>
        </w:numPr>
        <w:spacing w:lineRule="auto"/>
      </w:pPr>
      <w:r>
        <w:rPr/>
        <w:t xml:space="preserve">Warranty: 12 maanden op project-deliverables (documentatie, configuraties). Niet van toepassing op door derden geleverde hardware/software.</w:t>
      </w:r>
    </w:p>
    <w:p>
      <w:pPr>
        <w:numPr>
          <w:ilvl w:val="0"/>
          <w:numId w:val="10"/>
        </w:numPr>
        <w:spacing w:lineRule="auto"/>
      </w:pPr>
      <w:r>
        <w:rPr/>
        <w:t xml:space="preserve">Uitsluitingen (expliciet)</w:t>
      </w:r>
    </w:p>
    <w:p>
      <w:pPr>
        <w:numPr>
          <w:ilvl w:val="0"/>
          <w:numId w:val="11"/>
        </w:numPr>
        <w:spacing w:lineRule="auto"/>
      </w:pPr>
      <w:r>
        <w:rPr/>
        <w:t xml:space="preserve">Levering en beheer van onsite hardware buiten scope, tenzij separaat vastgelegd.</w:t>
      </w:r>
    </w:p>
    <w:p>
      <w:pPr>
        <w:numPr>
          <w:ilvl w:val="0"/>
          <w:numId w:val="11"/>
        </w:numPr>
        <w:spacing w:lineRule="auto"/>
      </w:pPr>
      <w:r>
        <w:rPr/>
        <w:t xml:space="preserve">Functionele applicatiesupport van third-party SaaS/applicaties buiten directe verantwoordelijkheid.</w:t>
      </w:r>
    </w:p>
    <w:p>
      <w:pPr>
        <w:numPr>
          <w:ilvl w:val="0"/>
          <w:numId w:val="11"/>
        </w:numPr>
        <w:spacing w:lineRule="auto"/>
      </w:pPr>
      <w:r>
        <w:rPr/>
        <w:t xml:space="preserve">Projecten/adoptie/gebruikers­training buiten regulier beheer; op aanvraag/offerte.</w:t>
      </w:r>
    </w:p>
    <w:p>
      <w:pPr>
        <w:numPr>
          <w:ilvl w:val="0"/>
          <w:numId w:val="11"/>
        </w:numPr>
        <w:spacing w:lineRule="auto"/>
      </w:pPr>
      <w:r>
        <w:rPr/>
        <w:t xml:space="preserve">Onvoorziene werkzaamheden door oorzaak buiten invloedssfeer (stroomuitval, ISP-fouten, DDoS op ISP, force majeure) vallen buiten SLA-credits.</w:t>
      </w:r>
    </w:p>
    <w:p>
      <w:pPr>
        <w:numPr>
          <w:ilvl w:val="0"/>
          <w:numId w:val="11"/>
        </w:numPr>
        <w:spacing w:lineRule="auto"/>
      </w:pPr>
      <w:r>
        <w:rPr/>
        <w:t xml:space="preserve">Security-incidenten voortkomend uit niet-naleving klantbeleid (geen MFA, verouderde OS) na aantoonbare advisering vallen buiten aansprakelijkheid.</w:t>
      </w:r>
    </w:p>
    <w:p>
      <w:pPr>
        <w:numPr>
          <w:ilvl w:val="0"/>
          <w:numId w:val="12"/>
        </w:numPr>
        <w:spacing w:lineRule="auto"/>
      </w:pPr>
      <w:r>
        <w:rPr/>
        <w:t xml:space="preserve">W-xx ↔ KPI ↔ Risico ↔ Bewijs (SMART-koppelingen)</w:t>
      </w:r>
    </w:p>
    <w:p>
      <w:pPr>
        <w:numPr>
          <w:ilvl w:val="0"/>
          <w:numId w:val="13"/>
        </w:numPr>
        <w:spacing w:lineRule="auto"/>
      </w:pPr>
      <w:r>
        <w:rPr/>
        <w:t xml:space="preserve">W-01 KO ISO 27001 → KPI: 0 major non-conformities per auditjaar → Risico: datalek/boete → Bewijs: geldig certificaat + SoA + auditrapport.</w:t>
      </w:r>
    </w:p>
    <w:p>
      <w:pPr>
        <w:numPr>
          <w:ilvl w:val="0"/>
          <w:numId w:val="13"/>
        </w:numPr>
        <w:spacing w:lineRule="auto"/>
      </w:pPr>
      <w:r>
        <w:rPr/>
        <w:t xml:space="preserve">W-02 KO ISO 9001 → KPI: ≤3 minor non-conformities/jaar → Risico: procesfouten → Bewijs: certificaat + interne auditlog.</w:t>
      </w:r>
    </w:p>
    <w:p>
      <w:pPr>
        <w:numPr>
          <w:ilvl w:val="0"/>
          <w:numId w:val="13"/>
        </w:numPr>
        <w:spacing w:lineRule="auto"/>
      </w:pPr>
      <w:r>
        <w:rPr/>
        <w:t xml:space="preserve">W-03 KO 24/7 bereikbaar → KPI: P1-responstijd ≤30 min (24/7) → Risico: impactcontinuïteit → Bewijs: wachtdienstroosters, ACD-rapport.</w:t>
      </w:r>
    </w:p>
    <w:p>
      <w:pPr>
        <w:numPr>
          <w:ilvl w:val="0"/>
          <w:numId w:val="13"/>
        </w:numPr>
        <w:spacing w:lineRule="auto"/>
      </w:pPr>
      <w:r>
        <w:rPr/>
        <w:t xml:space="preserve">W-04 Must P1 responstijd 30 min → KPI: ≥98% binnen target/maand → Risico: escalaties → Bewijs: tickets met tijdstempels.</w:t>
      </w:r>
    </w:p>
    <w:p>
      <w:pPr>
        <w:numPr>
          <w:ilvl w:val="0"/>
          <w:numId w:val="13"/>
        </w:numPr>
        <w:spacing w:lineRule="auto"/>
      </w:pPr>
      <w:r>
        <w:rPr/>
        <w:t xml:space="preserve">W-05 Must beschikbaarheid 99,8% → KPI: ≥99,8%/maand → Risico: productie-uitval → Bewijs: monitoring-export (uptime).</w:t>
      </w:r>
    </w:p>
    <w:p>
      <w:pPr>
        <w:numPr>
          <w:ilvl w:val="0"/>
          <w:numId w:val="13"/>
        </w:numPr>
        <w:spacing w:lineRule="auto"/>
      </w:pPr>
      <w:r>
        <w:rPr/>
        <w:t xml:space="preserve">W-06 Must monitoring/patch → KPI: ≥95% kritieke patches ≤14 dagen, ≥99% AV/EDR coverage → Risico: kwetsbaarheden → Bewijs: patch/EDR-dashboards.</w:t>
      </w:r>
    </w:p>
    <w:p>
      <w:pPr>
        <w:numPr>
          <w:ilvl w:val="0"/>
          <w:numId w:val="13"/>
        </w:numPr>
        <w:spacing w:lineRule="auto"/>
      </w:pPr>
      <w:r>
        <w:rPr/>
        <w:t xml:space="preserve">W-07 Must ITIL servicedesk → KPI: FCR ≥60%, CSAT ≥8,0/10 → Risico: doorlooptijd → Bewijs: ITIL-procesbeschrijvingen, KPI-rapportages.</w:t>
      </w:r>
    </w:p>
    <w:p>
      <w:pPr>
        <w:numPr>
          <w:ilvl w:val="0"/>
          <w:numId w:val="13"/>
        </w:numPr>
        <w:spacing w:lineRule="auto"/>
      </w:pPr>
      <w:r>
        <w:rPr/>
        <w:t xml:space="preserve">W-08 Must data EU → KPI: 100% datalokaties EU → Risico: AVG-schending → Bewijs: DPA’s, hostinglocaties.</w:t>
      </w:r>
    </w:p>
    <w:p>
      <w:pPr>
        <w:numPr>
          <w:ilvl w:val="0"/>
          <w:numId w:val="13"/>
        </w:numPr>
        <w:spacing w:lineRule="auto"/>
      </w:pPr>
      <w:r>
        <w:rPr/>
        <w:t xml:space="preserve">W-09 Must escalatieprocedure → KPI: 100% escalaties binnen matrix doorgevoerd → Risico: vertraging herstel → Bewijs: procedure + casuslogs.</w:t>
      </w:r>
    </w:p>
    <w:p>
      <w:pPr>
        <w:numPr>
          <w:ilvl w:val="0"/>
          <w:numId w:val="13"/>
        </w:numPr>
        <w:spacing w:lineRule="auto"/>
      </w:pPr>
      <w:r>
        <w:rPr/>
        <w:t xml:space="preserve">W-10 Must BCP → KPI: 1x per jaar getest, RTO/RPO gehaald → Risico: lange uitval → Bewijs: BCP + testverslag.</w:t>
      </w:r>
    </w:p>
    <w:p>
      <w:pPr>
        <w:numPr>
          <w:ilvl w:val="0"/>
          <w:numId w:val="13"/>
        </w:numPr>
        <w:spacing w:lineRule="auto"/>
      </w:pPr>
      <w:r>
        <w:rPr/>
        <w:t xml:space="preserve">W-11 Must VOG → KPI: 100% VOG bij onsite → Risico: integriteitsincident → Bewijs: VOG-register (intern).</w:t>
      </w:r>
    </w:p>
    <w:p>
      <w:pPr>
        <w:numPr>
          <w:ilvl w:val="0"/>
          <w:numId w:val="13"/>
        </w:numPr>
        <w:spacing w:lineRule="auto"/>
      </w:pPr>
      <w:r>
        <w:rPr/>
        <w:t xml:space="preserve">W-12 Must proactieve monitoring → KPI: 24/7 alerting, MTTD &lt;15 min → Risico: late detectie → Bewijs: SIEM/EDR-alertlogs.</w:t>
      </w:r>
    </w:p>
    <w:p>
      <w:pPr>
        <w:numPr>
          <w:ilvl w:val="0"/>
          <w:numId w:val="13"/>
        </w:numPr>
        <w:spacing w:lineRule="auto"/>
      </w:pPr>
      <w:r>
        <w:rPr/>
        <w:t xml:space="preserve">W-13 Must M365 support → KPI: P1 M365 opgelost &lt;4 uur; ≥95% binnen target → Risico: productiviteitsverlies → Bewijs: tickets, change-logs.</w:t>
      </w:r>
    </w:p>
    <w:p>
      <w:pPr>
        <w:numPr>
          <w:ilvl w:val="0"/>
          <w:numId w:val="14"/>
        </w:numPr>
        <w:spacing w:lineRule="auto"/>
      </w:pPr>
      <w:r>
        <w:rPr/>
        <w:t xml:space="preserve">PDCA-borging (governance en audittrail)</w:t>
      </w:r>
    </w:p>
    <w:p>
      <w:pPr>
        <w:numPr>
          <w:ilvl w:val="0"/>
          <w:numId w:val="15"/>
        </w:numPr>
        <w:spacing w:lineRule="auto"/>
      </w:pPr>
      <w:r>
        <w:rPr/>
        <w:t xml:space="preserve">Plan: kwartaalroadmap (patching, upgrades), risico-register, change-kalender afgestemd met opdrachtgever.</w:t>
      </w:r>
    </w:p>
    <w:p>
      <w:pPr>
        <w:numPr>
          <w:ilvl w:val="0"/>
          <w:numId w:val="15"/>
        </w:numPr>
        <w:spacing w:lineRule="auto"/>
      </w:pPr>
      <w:r>
        <w:rPr/>
        <w:t xml:space="preserve">Do: uitvoering via ITIL (Incident/Problem/Change), 24/7 monitoring, wekelijkse patch-runs.</w:t>
      </w:r>
    </w:p>
    <w:p>
      <w:pPr>
        <w:numPr>
          <w:ilvl w:val="0"/>
          <w:numId w:val="15"/>
        </w:numPr>
        <w:spacing w:lineRule="auto"/>
      </w:pPr>
      <w:r>
        <w:rPr/>
        <w:t xml:space="preserve">Check: maandrapportage SLA/KPI, security-rapport (EDR, kwetsbaarheden), CSAT-samenvatting.</w:t>
      </w:r>
    </w:p>
    <w:p>
      <w:pPr>
        <w:numPr>
          <w:ilvl w:val="0"/>
          <w:numId w:val="15"/>
        </w:numPr>
        <w:spacing w:lineRule="auto"/>
      </w:pPr>
      <w:r>
        <w:rPr/>
        <w:t xml:space="preserve">Act: service review (maandelijks), verbetermaatregelen met eigenaar/deadline, her-test van maatregelen in volgende cyclus.</w:t>
      </w:r>
    </w:p>
    <w:p>
      <w:pPr>
        <w:numPr>
          <w:ilvl w:val="0"/>
          <w:numId w:val="16"/>
        </w:numPr>
        <w:spacing w:lineRule="auto"/>
      </w:pPr>
      <w:r>
        <w:rPr/>
        <w:t xml:space="preserve">Partners en subverwerkers</w:t>
      </w:r>
    </w:p>
    <w:p>
      <w:pPr>
        <w:numPr>
          <w:ilvl w:val="0"/>
          <w:numId w:val="17"/>
        </w:numPr>
        <w:spacing w:lineRule="auto"/>
      </w:pPr>
      <w:r>
        <w:rPr/>
        <w:t xml:space="preserve">IT Infra Group: netwerk- en datacenterexpertise binnen EU; DPA en verwerking binnen EER.</w:t>
      </w:r>
    </w:p>
    <w:p>
      <w:pPr>
        <w:numPr>
          <w:ilvl w:val="0"/>
          <w:numId w:val="17"/>
        </w:numPr>
        <w:spacing w:lineRule="auto"/>
      </w:pPr>
      <w:r>
        <w:rPr/>
        <w:t xml:space="preserve">SecureOps NL: SOC-monitoring/EDR-tuning; verwerking binnen NL/EU.</w:t>
      </w:r>
    </w:p>
    <w:p>
      <w:pPr>
        <w:numPr>
          <w:ilvl w:val="0"/>
          <w:numId w:val="17"/>
        </w:numPr>
        <w:spacing w:lineRule="auto"/>
      </w:pPr>
      <w:r>
        <w:rPr/>
        <w:t xml:space="preserve">Regie: Digital Ease is hoofdaannemer en single point of contact; subverwerkers conform DPA-lijst.</w:t>
      </w:r>
    </w:p>
    <w:p>
      <w:pPr>
        <w:numPr>
          <w:ilvl w:val="0"/>
          <w:numId w:val="18"/>
        </w:numPr>
        <w:spacing w:lineRule="auto"/>
      </w:pPr>
      <w:r>
        <w:rPr/>
        <w:t xml:space="preserve">Escalatie en continuïteit</w:t>
      </w:r>
    </w:p>
    <w:p>
      <w:pPr>
        <w:numPr>
          <w:ilvl w:val="0"/>
          <w:numId w:val="19"/>
        </w:numPr>
        <w:spacing w:lineRule="auto"/>
      </w:pPr>
      <w:r>
        <w:rPr/>
        <w:t xml:space="preserve">Escalatiematrix: 3 niveaus (operatie, management, directie) met reactietijden 2u/8u/24u.</w:t>
      </w:r>
    </w:p>
    <w:p>
      <w:pPr>
        <w:numPr>
          <w:ilvl w:val="0"/>
          <w:numId w:val="19"/>
        </w:numPr>
        <w:spacing w:lineRule="auto"/>
      </w:pPr>
      <w:r>
        <w:rPr/>
        <w:t xml:space="preserve">Continuïteit: BCP met RTO 4 uur (kritieke services), RPO 15 min (log/EDR); jaarlijkse test en rapportage.</w:t>
      </w:r>
    </w:p>
    <w:p>
      <w:pPr>
        <w:numPr>
          <w:ilvl w:val="0"/>
          <w:numId w:val="19"/>
        </w:numPr>
        <w:spacing w:lineRule="auto"/>
      </w:pPr>
      <w:r>
        <w:rPr/>
        <w:t xml:space="preserve">Major Incident-procedure: war room binnen 30 min, updates elke 60 min, post-incident review binnen 5 werkdagen.</w:t>
      </w:r>
    </w:p>
    <w:p>
      <w:pPr>
        <w:numPr>
          <w:ilvl w:val="0"/>
          <w:numId w:val="20"/>
        </w:numPr>
        <w:spacing w:lineRule="auto"/>
      </w:pPr>
      <w:r>
        <w:rPr/>
        <w:t xml:space="preserve">Geldigheid en termijnen</w:t>
      </w:r>
    </w:p>
    <w:p>
      <w:pPr>
        <w:numPr>
          <w:ilvl w:val="0"/>
          <w:numId w:val="21"/>
        </w:numPr>
        <w:spacing w:lineRule="auto"/>
      </w:pPr>
      <w:r>
        <w:rPr/>
        <w:t xml:space="preserve">Ingangsdatering: na gunning en ondertekening raamovereenkomst.</w:t>
      </w:r>
    </w:p>
    <w:p>
      <w:pPr>
        <w:numPr>
          <w:ilvl w:val="0"/>
          <w:numId w:val="21"/>
        </w:numPr>
        <w:spacing w:lineRule="auto"/>
      </w:pPr>
      <w:r>
        <w:rPr/>
        <w:t xml:space="preserve">Aanbiedingsgeldigheid: 90 dagen vanaf indiening (2026-01-20).</w:t>
      </w:r>
    </w:p>
    <w:p>
      <w:pPr>
        <w:numPr>
          <w:ilvl w:val="0"/>
          <w:numId w:val="21"/>
        </w:numPr>
        <w:spacing w:lineRule="auto"/>
      </w:pPr>
      <w:r>
        <w:rPr/>
        <w:t xml:space="preserve">Voorwaardenconflict: aanbestedingsvoorwaarden prevaleren; dit document werkt aanvullend/clarificerend.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2"/>
        </w:numPr>
        <w:spacing w:lineRule="auto"/>
      </w:pPr>
      <w:r>
        <w:rPr/>
        <w:t xml:space="preserve">Overzicht huidige omgeving: aantallen servers/endpoints, locaties, kritieke systemen, supportvensters.</w:t>
      </w:r>
    </w:p>
    <w:p>
      <w:pPr>
        <w:numPr>
          <w:ilvl w:val="0"/>
          <w:numId w:val="22"/>
        </w:numPr>
        <w:spacing w:lineRule="auto"/>
      </w:pPr>
      <w:r>
        <w:rPr/>
        <w:t xml:space="preserve">CMDB en netwerkdiagrammen; lijst met integraties/koppelingen.</w:t>
      </w:r>
    </w:p>
    <w:p>
      <w:pPr>
        <w:numPr>
          <w:ilvl w:val="0"/>
          <w:numId w:val="22"/>
        </w:numPr>
        <w:spacing w:lineRule="auto"/>
      </w:pPr>
      <w:r>
        <w:rPr/>
        <w:t xml:space="preserve">Huidige leverancierslijst + contractuele beperkingen; contactpunten per leverancier.</w:t>
      </w:r>
    </w:p>
    <w:p>
      <w:pPr>
        <w:numPr>
          <w:ilvl w:val="0"/>
          <w:numId w:val="22"/>
        </w:numPr>
        <w:spacing w:lineRule="auto"/>
      </w:pPr>
      <w:r>
        <w:rPr/>
        <w:t xml:space="preserve">Beheeraccounts en toegangsprocedures; gewenste autorisaties.</w:t>
      </w:r>
    </w:p>
    <w:p>
      <w:pPr>
        <w:numPr>
          <w:ilvl w:val="0"/>
          <w:numId w:val="22"/>
        </w:numPr>
        <w:spacing w:lineRule="auto"/>
      </w:pPr>
      <w:r>
        <w:rPr/>
        <w:t xml:space="preserve">Datalocaties en compliance-eisen per dataset; bestaande DPA’s.</w:t>
      </w:r>
    </w:p>
    <w:p>
      <w:pPr>
        <w:numPr>
          <w:ilvl w:val="0"/>
          <w:numId w:val="22"/>
        </w:numPr>
        <w:spacing w:lineRule="auto"/>
      </w:pPr>
      <w:r>
        <w:rPr/>
        <w:t xml:space="preserve">Escalatiematrix opdrachtgever (namen, bereikbaarheid).</w:t>
      </w:r>
    </w:p>
    <w:p>
      <w:pPr>
        <w:numPr>
          <w:ilvl w:val="0"/>
          <w:numId w:val="22"/>
        </w:numPr>
        <w:spacing w:lineRule="auto"/>
      </w:pPr>
      <w:r>
        <w:rPr/>
        <w:t xml:space="preserve">Change freeze periodes en businesskalender (kritieke data/peaks).</w:t>
      </w:r>
    </w:p>
    <w:p>
      <w:pPr>
        <w:numPr>
          <w:ilvl w:val="0"/>
          <w:numId w:val="22"/>
        </w:numPr>
        <w:spacing w:lineRule="auto"/>
      </w:pPr>
      <w:r>
        <w:rPr/>
        <w:t xml:space="preserve">Microsoft 365 tenant-instellingen en licentieoverzicht.</w:t>
      </w:r>
    </w:p>
    <w:p>
      <w:pPr>
        <w:numPr>
          <w:ilvl w:val="0"/>
          <w:numId w:val="22"/>
        </w:numPr>
        <w:spacing w:lineRule="auto"/>
      </w:pPr>
      <w:r>
        <w:rPr/>
        <w:t xml:space="preserve">Securitybeleid (MFA, wachtwoord, device compliance) en gewenste uitzonderingen.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