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Beoordelingsmethodiek (EMVI/BPKV)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Beoordelingsmethodiek – EMVI (BPKV) voor GV-IT-2026-001 Opdracht: Raamovereenkomst voor ICT-beheer- en securitydiensten met hoge beschikbaarheid en 24/7 incidentafhandeling, in lijn met KO- en must-eisen. Gunning op EMVI/BPKV: kwaliteit, duurzaamheid, risicobeheersing en prijs. Deze methodiek is SMART en PDCA-conform en kruisverbindt W-xx werkpakketten aan KPI’s, risico’s (R-xx) en bewijslast.</w:t>
      </w:r>
    </w:p>
    <w:p>
      <w:pPr>
        <w:spacing w:lineRule="auto"/>
      </w:pPr>
      <w:r>
        <w:rPr/>
        <w:t xml:space="preserve">KO- en must-borging (toets vooraf):</w:t>
      </w:r>
    </w:p>
    <w:p>
      <w:pPr>
        <w:numPr>
          <w:ilvl w:val="0"/>
          <w:numId w:val="1"/>
        </w:numPr>
        <w:spacing w:lineRule="auto"/>
      </w:pPr>
      <w:r>
        <w:rPr/>
        <w:t xml:space="preserve">KO: ISO 27001 gecertificeerd – geborgd (Digital Ease B.V. heeft ISO 27001).</w:t>
      </w:r>
    </w:p>
    <w:p>
      <w:pPr>
        <w:numPr>
          <w:ilvl w:val="0"/>
          <w:numId w:val="1"/>
        </w:numPr>
        <w:spacing w:lineRule="auto"/>
      </w:pPr>
      <w:r>
        <w:rPr/>
        <w:t xml:space="preserve">KO: ISO 9001 gecertificeerd – geborgd (Digital Ease B.V. heeft ISO 9001).</w:t>
      </w:r>
    </w:p>
    <w:p>
      <w:pPr>
        <w:numPr>
          <w:ilvl w:val="0"/>
          <w:numId w:val="1"/>
        </w:numPr>
        <w:spacing w:lineRule="auto"/>
      </w:pPr>
      <w:r>
        <w:rPr/>
        <w:t xml:space="preserve">KO: 24/7 bereikbaarheidsdienst – geborgd (W-02).</w:t>
      </w:r>
    </w:p>
    <w:p>
      <w:pPr>
        <w:numPr>
          <w:ilvl w:val="0"/>
          <w:numId w:val="1"/>
        </w:numPr>
        <w:spacing w:lineRule="auto"/>
      </w:pPr>
      <w:r>
        <w:rPr/>
        <w:t xml:space="preserve">Musts: 99,8% beschikbaarheid/mnd (W-04), P1-responstijd &lt; 30 min (W-02), P1-oplostijd &lt; 4 uur (W-02), ITIL-servicedesk (W-01), EU-dataverwerking (W-05), escalatieprocedure (W-09), BCP (W-04), VOG waar vereist (W-05), proactieve monitoring &amp; patching (W-03), M365-ondersteuning (W-06).</w:t>
      </w:r>
    </w:p>
    <w:p>
      <w:pPr>
        <w:spacing w:lineRule="auto"/>
      </w:pPr>
      <w:r>
        <w:rPr/>
        <w:t xml:space="preserve">Beoordelingsstructuur (totaal 100%)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goed eruitziet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Gerelateerde 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Kern-KPI’s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 punten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Meetbare, aantoonbaar robuuste ITIL-geborgde dienstverlening met 24/7 P1-afhandeling, 99,8% uptime, geautomatiseerde monitoring/patching, EU-data, aantoonbare referenties en PDCA-rapportage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W-02, W-03, W-04, W-05, W-06, 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Beschikbaarheid ≥99,8%, P1 TTR &lt;4u, P1 TTA &lt;30m, Patch compliance ≥95%/14d, CSAT ≥8,0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 punten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Concreet CO2e-reductieplan (SBTi-alignment), EU-datacenters met hoog % hernieuwbare energie, remote-first, reis- en e-waste-reductie, meet- en rapportagelijn met KPI’s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W-10, W-04, 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CO2e per gebruiker/jaar ↓≥15% in 3 jaar, PUE ≤1,3 bron, ≥90% remote interventies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Risicobeheersing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 punten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Volwassen risicodossier met top-10 risico’s, triggers, mitigerende maatregelen, eigenaarschap, frequent PDCA en aantoonbare tests (BCP/DR, failover)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W-04, W-05, W-07, W-09, 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kritieke onbeheerde risico’s, 2x/jaar DR-test, 100% risicoreviews per kwartaal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Transparant, voorspelbaar, TCO-bewust. Score = (laagste prijs / inschrijfprijs) ×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 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n.v.t. (formule)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Schaal (kwalitatieve criteria 0–10)</w:t>
      </w:r>
    </w:p>
    <w:p>
      <w:pPr>
        <w:numPr>
          <w:ilvl w:val="0"/>
          <w:numId w:val="2"/>
        </w:numPr>
        <w:spacing w:lineRule="auto"/>
      </w:pPr>
      <w:r>
        <w:rPr/>
        <w:t xml:space="preserve">0–2: Onvolledig; niet SMART; eisen niet aantoonbaar geborgd.</w:t>
      </w:r>
    </w:p>
    <w:p>
      <w:pPr>
        <w:numPr>
          <w:ilvl w:val="0"/>
          <w:numId w:val="2"/>
        </w:numPr>
        <w:spacing w:lineRule="auto"/>
      </w:pPr>
      <w:r>
        <w:rPr/>
        <w:t xml:space="preserve">3–5: Basis; deels SMART; beperkte PDCA; risico’s onvoldoende gedekt.</w:t>
      </w:r>
    </w:p>
    <w:p>
      <w:pPr>
        <w:numPr>
          <w:ilvl w:val="0"/>
          <w:numId w:val="2"/>
        </w:numPr>
        <w:spacing w:lineRule="auto"/>
      </w:pPr>
      <w:r>
        <w:rPr/>
        <w:t xml:space="preserve">6–8: Goed; volledig SMART; aantoonbare PDCA; duidelijke KPI-sturing en bewijs.</w:t>
      </w:r>
    </w:p>
    <w:p>
      <w:pPr>
        <w:numPr>
          <w:ilvl w:val="0"/>
          <w:numId w:val="2"/>
        </w:numPr>
        <w:spacing w:lineRule="auto"/>
      </w:pPr>
      <w:r>
        <w:rPr/>
        <w:t xml:space="preserve">9–10: Excellent; proactieve verbeter-cyclus; benchmarks; externe validatie; aantoonbare superioriteit en continu verbeterprogramma.</w:t>
      </w:r>
    </w:p>
    <w:p>
      <w:pPr>
        <w:numPr>
          <w:ilvl w:val="0"/>
          <w:numId w:val="3"/>
        </w:numPr>
        <w:spacing w:lineRule="auto"/>
      </w:pPr>
      <w:r>
        <w:rPr/>
        <w:t xml:space="preserve">Kwaliteit (40%) Wat goed eruitziet</w:t>
      </w:r>
    </w:p>
    <w:p>
      <w:pPr>
        <w:numPr>
          <w:ilvl w:val="0"/>
          <w:numId w:val="4"/>
        </w:numPr>
        <w:spacing w:lineRule="auto"/>
      </w:pPr>
      <w:r>
        <w:rPr/>
        <w:t xml:space="preserve">ITIL v4-gedragen serviceorganisatie met 24/7 Major Incident-proces, duidelijke rolverdeling en escalaties.</w:t>
      </w:r>
    </w:p>
    <w:p>
      <w:pPr>
        <w:numPr>
          <w:ilvl w:val="0"/>
          <w:numId w:val="4"/>
        </w:numPr>
        <w:spacing w:lineRule="auto"/>
      </w:pPr>
      <w:r>
        <w:rPr/>
        <w:t xml:space="preserve">SLA-conformiteit: 99,8% beschikbaarheid/mnd; P1-responstijd &lt;30 min; P1-oplostijd &lt;4 uur.</w:t>
      </w:r>
    </w:p>
    <w:p>
      <w:pPr>
        <w:numPr>
          <w:ilvl w:val="0"/>
          <w:numId w:val="4"/>
        </w:numPr>
        <w:spacing w:lineRule="auto"/>
      </w:pPr>
      <w:r>
        <w:rPr/>
        <w:t xml:space="preserve">Proactieve monitoring en patching met automatisering, heldere change-vensters en rollback-plannen.</w:t>
      </w:r>
    </w:p>
    <w:p>
      <w:pPr>
        <w:numPr>
          <w:ilvl w:val="0"/>
          <w:numId w:val="4"/>
        </w:numPr>
        <w:spacing w:lineRule="auto"/>
      </w:pPr>
      <w:r>
        <w:rPr/>
        <w:t xml:space="preserve">EU-dataverwerking; informatiebeveiliging conform ISO 27001; NEN 7510 voor publieke domeinen.</w:t>
      </w:r>
    </w:p>
    <w:p>
      <w:pPr>
        <w:numPr>
          <w:ilvl w:val="0"/>
          <w:numId w:val="4"/>
        </w:numPr>
        <w:spacing w:lineRule="auto"/>
      </w:pPr>
      <w:r>
        <w:rPr/>
        <w:t xml:space="preserve">M365-ondersteuning met aantoonbare kennis en lifecycle-beheer.</w:t>
      </w:r>
    </w:p>
    <w:p>
      <w:pPr>
        <w:numPr>
          <w:ilvl w:val="0"/>
          <w:numId w:val="4"/>
        </w:numPr>
        <w:spacing w:lineRule="auto"/>
      </w:pPr>
      <w:r>
        <w:rPr/>
        <w:t xml:space="preserve">Meetbare kwaliteitssturing (CSAT, FCR, change-succesratio) en maandelijkse PDCA-rapportage.</w:t>
      </w:r>
    </w:p>
    <w:p>
      <w:pPr>
        <w:spacing w:lineRule="auto"/>
      </w:pPr>
      <w:r>
        <w:rPr/>
        <w:t xml:space="preserve">Onze invulling (Digital Ease B.V.)</w:t>
      </w:r>
    </w:p>
    <w:p>
      <w:pPr>
        <w:numPr>
          <w:ilvl w:val="0"/>
          <w:numId w:val="5"/>
        </w:numPr>
        <w:spacing w:lineRule="auto"/>
      </w:pPr>
      <w:r>
        <w:rPr/>
        <w:t xml:space="preserve">Plan: Service Design Package met processen voor Incident, Request, Problem, Change, Major Incident en Knowledge Management; onboarding-runbook met asset- en servicecatalogus; duidelijke RACI.</w:t>
      </w:r>
    </w:p>
    <w:p>
      <w:pPr>
        <w:numPr>
          <w:ilvl w:val="0"/>
          <w:numId w:val="5"/>
        </w:numPr>
        <w:spacing w:lineRule="auto"/>
      </w:pPr>
      <w:r>
        <w:rPr/>
        <w:t xml:space="preserve">Do: 24/7 bereikbaarheidsdienst met stand-by en war-room-protocol; geautomatiseerd monitoring- en patchproces; EU-hosting; M365-beheer incl. identity, compliance policies en secure score-sturing.</w:t>
      </w:r>
    </w:p>
    <w:p>
      <w:pPr>
        <w:numPr>
          <w:ilvl w:val="0"/>
          <w:numId w:val="5"/>
        </w:numPr>
        <w:spacing w:lineRule="auto"/>
      </w:pPr>
      <w:r>
        <w:rPr/>
        <w:t xml:space="preserve">Check: Maandelijkse SLA-rapportage (beschikbaarheid, TTA/TTR, patch compliance, FCR, CSAT, change-succes); kwartaalreview met trendanalyse.</w:t>
      </w:r>
    </w:p>
    <w:p>
      <w:pPr>
        <w:numPr>
          <w:ilvl w:val="0"/>
          <w:numId w:val="5"/>
        </w:numPr>
        <w:spacing w:lineRule="auto"/>
      </w:pPr>
      <w:r>
        <w:rPr/>
        <w:t xml:space="preserve">Act: CSI-backlog met kwartaalprioritering; security- en beschikbaarheidsverbeteringen doorvoeren (bijv. segmentatie, hardening, tuning patchvensters).</w:t>
      </w:r>
    </w:p>
    <w:p>
      <w:pPr>
        <w:numPr>
          <w:ilvl w:val="0"/>
          <w:numId w:val="5"/>
        </w:numPr>
        <w:spacing w:lineRule="auto"/>
      </w:pPr>
      <w:r>
        <w:rPr/>
        <w:t xml:space="preserve">Gerelateerde W-xx: W-01, W-02, W-03, W-04, W-05, W-06, W-07.</w:t>
      </w:r>
    </w:p>
    <w:p>
      <w:pPr>
        <w:numPr>
          <w:ilvl w:val="0"/>
          <w:numId w:val="5"/>
        </w:numPr>
        <w:spacing w:lineRule="auto"/>
      </w:pPr>
      <w:r>
        <w:rPr/>
        <w:t xml:space="preserve">KPI’s: Beschikbaarheid ≥99,8%; P1 TTA &lt;30 min; P1 TTR &lt;4 uur; Patch compliance ≥95% binnen 14 dagen; CSAT ≥8,0; First Call Resolution ≥70%; Change-succes ≥90%; EU data residency 100%.</w:t>
      </w:r>
    </w:p>
    <w:p>
      <w:pPr>
        <w:numPr>
          <w:ilvl w:val="0"/>
          <w:numId w:val="5"/>
        </w:numPr>
        <w:spacing w:lineRule="auto"/>
      </w:pPr>
      <w:r>
        <w:rPr/>
        <w:t xml:space="preserve">Risico’s (selectie): R-01 Onvolledige inventaris; R-02 Onvoldoende toegang tot klantomgevingen; R-03 Patchvenster-conflicten.</w:t>
      </w:r>
    </w:p>
    <w:p>
      <w:pPr>
        <w:numPr>
          <w:ilvl w:val="0"/>
          <w:numId w:val="5"/>
        </w:numPr>
        <w:spacing w:lineRule="auto"/>
      </w:pPr>
      <w:r>
        <w:rPr/>
        <w:t xml:space="preserve">Bewijs: ISO 9001/27001 certificaten; proceshandboeken; voorbeeld SLA-rapport; monitoring- en patch-rapportages; M365 beheerarchitectuur; NEN 7510 scopeverklaring.</w:t>
      </w:r>
    </w:p>
    <w:p>
      <w:pPr>
        <w:numPr>
          <w:ilvl w:val="0"/>
          <w:numId w:val="6"/>
        </w:numPr>
        <w:spacing w:lineRule="auto"/>
      </w:pPr>
      <w:r>
        <w:rPr/>
        <w:t xml:space="preserve">Duurzaamheid (20%) Wat goed eruitziet</w:t>
      </w:r>
    </w:p>
    <w:p>
      <w:pPr>
        <w:numPr>
          <w:ilvl w:val="0"/>
          <w:numId w:val="7"/>
        </w:numPr>
        <w:spacing w:lineRule="auto"/>
      </w:pPr>
      <w:r>
        <w:rPr/>
        <w:t xml:space="preserve">Concreet CO2e-reductieprogramma met meetmethodiek en baseline; voorkeur voor datacenters met hoge hernieuwbare energiemix.</w:t>
      </w:r>
    </w:p>
    <w:p>
      <w:pPr>
        <w:numPr>
          <w:ilvl w:val="0"/>
          <w:numId w:val="7"/>
        </w:numPr>
        <w:spacing w:lineRule="auto"/>
      </w:pPr>
      <w:r>
        <w:rPr/>
        <w:t xml:space="preserve">Remote-first operatie, minimalisering reisbewegingen, inzet energiezuinige tooling en optimalisaties (bijv. rechtenizing, idle resource-reductie).</w:t>
      </w:r>
    </w:p>
    <w:p>
      <w:pPr>
        <w:numPr>
          <w:ilvl w:val="0"/>
          <w:numId w:val="7"/>
        </w:numPr>
        <w:spacing w:lineRule="auto"/>
      </w:pPr>
      <w:r>
        <w:rPr/>
        <w:t xml:space="preserve">E-waste- en lifecyclebeleid met gecertificeerde verwerking en refurbishment waar mogelijk.</w:t>
      </w:r>
    </w:p>
    <w:p>
      <w:pPr>
        <w:numPr>
          <w:ilvl w:val="0"/>
          <w:numId w:val="7"/>
        </w:numPr>
        <w:spacing w:lineRule="auto"/>
      </w:pPr>
      <w:r>
        <w:rPr/>
        <w:t xml:space="preserve">Transparante, periodieke rapportage van KPI’s en voortgang (PDCA).</w:t>
      </w:r>
    </w:p>
    <w:p>
      <w:pPr>
        <w:spacing w:lineRule="auto"/>
      </w:pPr>
      <w:r>
        <w:rPr/>
        <w:t xml:space="preserve">Onze invulling</w:t>
      </w:r>
    </w:p>
    <w:p>
      <w:pPr>
        <w:numPr>
          <w:ilvl w:val="0"/>
          <w:numId w:val="8"/>
        </w:numPr>
        <w:spacing w:lineRule="auto"/>
      </w:pPr>
      <w:r>
        <w:rPr/>
        <w:t xml:space="preserve">Plan: Green Ops Framework met nulmeting CO2e per gebruiker/jaar; keuze voor EU-datacenters met hernieuwbare energie; beleid voor remote interventies en bundeling on-site bezoeken.</w:t>
      </w:r>
    </w:p>
    <w:p>
      <w:pPr>
        <w:numPr>
          <w:ilvl w:val="0"/>
          <w:numId w:val="8"/>
        </w:numPr>
        <w:spacing w:lineRule="auto"/>
      </w:pPr>
      <w:r>
        <w:rPr/>
        <w:t xml:space="preserve">Do: ≥90% remote-intakes en -changes; consolidatie onderhoudsbezoeken; scripting/automation om resources te verlagen.</w:t>
      </w:r>
    </w:p>
    <w:p>
      <w:pPr>
        <w:numPr>
          <w:ilvl w:val="0"/>
          <w:numId w:val="8"/>
        </w:numPr>
        <w:spacing w:lineRule="auto"/>
      </w:pPr>
      <w:r>
        <w:rPr/>
        <w:t xml:space="preserve">Check: Kwartaalrapportage CO2e per gebruiker/jaar, PUE-bronverantwoording, % remote interventies, e-waste-stromen.</w:t>
      </w:r>
    </w:p>
    <w:p>
      <w:pPr>
        <w:numPr>
          <w:ilvl w:val="0"/>
          <w:numId w:val="8"/>
        </w:numPr>
        <w:spacing w:lineRule="auto"/>
      </w:pPr>
      <w:r>
        <w:rPr/>
        <w:t xml:space="preserve">Act: Jaarlijkse reductiedoelen (≥5%/jaar); bijsturen op reis- en energieprofiel; optimaliseren policies en monitoring.</w:t>
      </w:r>
    </w:p>
    <w:p>
      <w:pPr>
        <w:numPr>
          <w:ilvl w:val="0"/>
          <w:numId w:val="8"/>
        </w:numPr>
        <w:spacing w:lineRule="auto"/>
      </w:pPr>
      <w:r>
        <w:rPr/>
        <w:t xml:space="preserve">Gerelateerde W-xx: W-10, W-04, W-03.</w:t>
      </w:r>
    </w:p>
    <w:p>
      <w:pPr>
        <w:numPr>
          <w:ilvl w:val="0"/>
          <w:numId w:val="8"/>
        </w:numPr>
        <w:spacing w:lineRule="auto"/>
      </w:pPr>
      <w:r>
        <w:rPr/>
        <w:t xml:space="preserve">KPI’s: CO2e per gebruiker/jaar ↓ ≥15% in 3 jaar; ≥90% remote interventies; datacenter PUE ≤1,3 (bronrapport); 100% e-waste via gecertificeerde verwerkers.</w:t>
      </w:r>
    </w:p>
    <w:p>
      <w:pPr>
        <w:numPr>
          <w:ilvl w:val="0"/>
          <w:numId w:val="8"/>
        </w:numPr>
        <w:spacing w:lineRule="auto"/>
      </w:pPr>
      <w:r>
        <w:rPr/>
        <w:t xml:space="preserve">Risico’s: R-04 Onvoldoende brondata; R-05 Onvoorziene on-site afhankelijkheden.</w:t>
      </w:r>
    </w:p>
    <w:p>
      <w:pPr>
        <w:numPr>
          <w:ilvl w:val="0"/>
          <w:numId w:val="8"/>
        </w:numPr>
        <w:spacing w:lineRule="auto"/>
      </w:pPr>
      <w:r>
        <w:rPr/>
        <w:t xml:space="preserve">Bewijs: Leveranciersverklaringen energie-mix/PUE; CO2-rapportages; e-waste certificaten/verwerkersketen; voorbeeld reductieplan.</w:t>
      </w:r>
    </w:p>
    <w:p>
      <w:pPr>
        <w:numPr>
          <w:ilvl w:val="0"/>
          <w:numId w:val="9"/>
        </w:numPr>
        <w:spacing w:lineRule="auto"/>
      </w:pPr>
      <w:r>
        <w:rPr/>
        <w:t xml:space="preserve">Risicobeheersing (20%) Wat goed eruitziet</w:t>
      </w:r>
    </w:p>
    <w:p>
      <w:pPr>
        <w:numPr>
          <w:ilvl w:val="0"/>
          <w:numId w:val="10"/>
        </w:numPr>
        <w:spacing w:lineRule="auto"/>
      </w:pPr>
      <w:r>
        <w:rPr/>
        <w:t xml:space="preserve">Actueel risicodossier met top-10 en rest-risico’s; eigenaarschap; detectie- en mitigerende maatregelen; testregime (BCP/DR).</w:t>
      </w:r>
    </w:p>
    <w:p>
      <w:pPr>
        <w:numPr>
          <w:ilvl w:val="0"/>
          <w:numId w:val="10"/>
        </w:numPr>
        <w:spacing w:lineRule="auto"/>
      </w:pPr>
      <w:r>
        <w:rPr/>
        <w:t xml:space="preserve">Integratie met change- en capaciteitsmanagement; lessons learned en trendanalyses.</w:t>
      </w:r>
    </w:p>
    <w:p>
      <w:pPr>
        <w:spacing w:lineRule="auto"/>
      </w:pPr>
      <w:r>
        <w:rPr/>
        <w:t xml:space="preserve">Onze invulling</w:t>
      </w:r>
    </w:p>
    <w:p>
      <w:pPr>
        <w:numPr>
          <w:ilvl w:val="0"/>
          <w:numId w:val="11"/>
        </w:numPr>
        <w:spacing w:lineRule="auto"/>
      </w:pPr>
      <w:r>
        <w:rPr/>
        <w:t xml:space="preserve">Plan: Risicoregister met scoring (impact × kans), triggers en drempelwaarden; mapping met services; crisis- en communicatieplan; leveranciers- en escalatieschema.</w:t>
      </w:r>
    </w:p>
    <w:p>
      <w:pPr>
        <w:numPr>
          <w:ilvl w:val="0"/>
          <w:numId w:val="11"/>
        </w:numPr>
        <w:spacing w:lineRule="auto"/>
      </w:pPr>
      <w:r>
        <w:rPr/>
        <w:t xml:space="preserve">Do: Kwartaalrisicoworkshops; 2× per jaar DR-test (inclusief RTO/RPO-verificatie); tabletop- en technische failovertests; patch- en kwetsbaarhedenbeheer.</w:t>
      </w:r>
    </w:p>
    <w:p>
      <w:pPr>
        <w:numPr>
          <w:ilvl w:val="0"/>
          <w:numId w:val="11"/>
        </w:numPr>
        <w:spacing w:lineRule="auto"/>
      </w:pPr>
      <w:r>
        <w:rPr/>
        <w:t xml:space="preserve">Check: Maandelijkse risk review in SLA-rapport; audit- en testbevindingen; managementreviews.</w:t>
      </w:r>
    </w:p>
    <w:p>
      <w:pPr>
        <w:numPr>
          <w:ilvl w:val="0"/>
          <w:numId w:val="11"/>
        </w:numPr>
        <w:spacing w:lineRule="auto"/>
      </w:pPr>
      <w:r>
        <w:rPr/>
        <w:t xml:space="preserve">Act: Risico-acceptatie/mitigatie/transfer; bijsturen controls; update runbooks en contractafspraken met toeleveranciers.</w:t>
      </w:r>
    </w:p>
    <w:p>
      <w:pPr>
        <w:numPr>
          <w:ilvl w:val="0"/>
          <w:numId w:val="11"/>
        </w:numPr>
        <w:spacing w:lineRule="auto"/>
      </w:pPr>
      <w:r>
        <w:rPr/>
        <w:t xml:space="preserve">Gerelateerde W-xx: W-04, W-05, W-07, W-09, W-03.</w:t>
      </w:r>
    </w:p>
    <w:p>
      <w:pPr>
        <w:numPr>
          <w:ilvl w:val="0"/>
          <w:numId w:val="11"/>
        </w:numPr>
        <w:spacing w:lineRule="auto"/>
      </w:pPr>
      <w:r>
        <w:rPr/>
        <w:t xml:space="preserve">KPI’s: 0 openstaande kritieke bevindingen &gt;30 dagen; 100% kwartaalreviews; 2×/jaar DR-test met geslaagde criteria; kwetsbaarheden met CVSS ≥9.0 gemitigeerd &lt;7 dagen.</w:t>
      </w:r>
    </w:p>
    <w:p>
      <w:pPr>
        <w:numPr>
          <w:ilvl w:val="0"/>
          <w:numId w:val="11"/>
        </w:numPr>
        <w:spacing w:lineRule="auto"/>
      </w:pPr>
      <w:r>
        <w:rPr/>
        <w:t xml:space="preserve">Risico’s: R-06 Leveranciersstoring; R-07 Credential-compromittering; R-08 Change-collisions; R-09 Onvoldoende BCP-dekking.</w:t>
      </w:r>
    </w:p>
    <w:p>
      <w:pPr>
        <w:numPr>
          <w:ilvl w:val="0"/>
          <w:numId w:val="11"/>
        </w:numPr>
        <w:spacing w:lineRule="auto"/>
      </w:pPr>
      <w:r>
        <w:rPr/>
        <w:t xml:space="preserve">Bewijs: Risicoregister-extract; DR-testverslagen; auditrapporten; kwetsbaarhedenrapportage; escalatieladders.</w:t>
      </w:r>
    </w:p>
    <w:p>
      <w:pPr>
        <w:numPr>
          <w:ilvl w:val="0"/>
          <w:numId w:val="12"/>
        </w:numPr>
        <w:spacing w:lineRule="auto"/>
      </w:pPr>
      <w:r>
        <w:rPr/>
        <w:t xml:space="preserve">Prijs (20%) Wat goed eruitziet</w:t>
      </w:r>
    </w:p>
    <w:p>
      <w:pPr>
        <w:numPr>
          <w:ilvl w:val="0"/>
          <w:numId w:val="13"/>
        </w:numPr>
        <w:spacing w:lineRule="auto"/>
      </w:pPr>
      <w:r>
        <w:rPr/>
        <w:t xml:space="preserve">Transparant en voorspelbaar prijsmodel met heldere bandbreedtes en uitsluitingen; life-cycle kosten inzichtelijk; geen verborgen posten.</w:t>
      </w:r>
    </w:p>
    <w:p>
      <w:pPr>
        <w:numPr>
          <w:ilvl w:val="0"/>
          <w:numId w:val="13"/>
        </w:numPr>
        <w:spacing w:lineRule="auto"/>
      </w:pPr>
      <w:r>
        <w:rPr/>
        <w:t xml:space="preserve">Formule: Score prijs = (Laagste inschrijfprijs / Onze inschrijfprijs) × 10. Maximaal 10 punten, lineair.</w:t>
      </w:r>
    </w:p>
    <w:p>
      <w:pPr>
        <w:spacing w:lineRule="auto"/>
      </w:pPr>
      <w:r>
        <w:rPr/>
        <w:t xml:space="preserve">Onze invulling</w:t>
      </w:r>
    </w:p>
    <w:p>
      <w:pPr>
        <w:numPr>
          <w:ilvl w:val="0"/>
          <w:numId w:val="14"/>
        </w:numPr>
        <w:spacing w:lineRule="auto"/>
      </w:pPr>
      <w:r>
        <w:rPr/>
        <w:t xml:space="preserve">Plan: Vast maandtarief per gebruiker/maand met staffels en heldere afbakening (beheer, monitoring, 24/7 incidentafhandeling); meerwerk tegen vooraf overeengekomen tarieven; indexatie conform CBS CPI.</w:t>
      </w:r>
    </w:p>
    <w:p>
      <w:pPr>
        <w:numPr>
          <w:ilvl w:val="0"/>
          <w:numId w:val="14"/>
        </w:numPr>
        <w:spacing w:lineRule="auto"/>
      </w:pPr>
      <w:r>
        <w:rPr/>
        <w:t xml:space="preserve">Do: Contractueel geborgd prijsmodel gedurende raamovereenkomst; wijzigingsbeheer bij volume-mutaties.</w:t>
      </w:r>
    </w:p>
    <w:p>
      <w:pPr>
        <w:numPr>
          <w:ilvl w:val="0"/>
          <w:numId w:val="14"/>
        </w:numPr>
        <w:spacing w:lineRule="auto"/>
      </w:pPr>
      <w:r>
        <w:rPr/>
        <w:t xml:space="preserve">Check: Kwartaal-TCO review met verbruik/volume; transparante factuurspecificaties.</w:t>
      </w:r>
    </w:p>
    <w:p>
      <w:pPr>
        <w:numPr>
          <w:ilvl w:val="0"/>
          <w:numId w:val="14"/>
        </w:numPr>
        <w:spacing w:lineRule="auto"/>
      </w:pPr>
      <w:r>
        <w:rPr/>
        <w:t xml:space="preserve">Act: Optimalisatie van verbruik (bijv. licentie- en resource-optimalisaties) om TCO te verlagen binnen scope.</w:t>
      </w:r>
    </w:p>
    <w:p>
      <w:pPr>
        <w:numPr>
          <w:ilvl w:val="0"/>
          <w:numId w:val="14"/>
        </w:numPr>
        <w:spacing w:lineRule="auto"/>
      </w:pPr>
      <w:r>
        <w:rPr/>
        <w:t xml:space="preserve">Gerelateerde W-xx: Alle W-xx (doorbelastingsstructuur volgt werkpakketten).</w:t>
      </w:r>
    </w:p>
    <w:p>
      <w:pPr>
        <w:numPr>
          <w:ilvl w:val="0"/>
          <w:numId w:val="14"/>
        </w:numPr>
        <w:spacing w:lineRule="auto"/>
      </w:pPr>
      <w:r>
        <w:rPr/>
        <w:t xml:space="preserve">KPI’s: n.v.t. (prijs wordt via formule beoordeeld).</w:t>
      </w:r>
    </w:p>
    <w:p>
      <w:pPr>
        <w:numPr>
          <w:ilvl w:val="0"/>
          <w:numId w:val="14"/>
        </w:numPr>
        <w:spacing w:lineRule="auto"/>
      </w:pPr>
      <w:r>
        <w:rPr/>
        <w:t xml:space="preserve">Risico’s: R-10 Scope creep; R-11 Onvoorziene piekbelasting.</w:t>
      </w:r>
    </w:p>
    <w:p>
      <w:pPr>
        <w:numPr>
          <w:ilvl w:val="0"/>
          <w:numId w:val="14"/>
        </w:numPr>
        <w:spacing w:lineRule="auto"/>
      </w:pPr>
      <w:r>
        <w:rPr/>
        <w:t xml:space="preserve">Bewijs: Tarievenblad; specificatie van inbegrepen diensten; indexatieclausule.</w:t>
      </w:r>
    </w:p>
    <w:p>
      <w:pPr>
        <w:spacing w:lineRule="auto"/>
      </w:pPr>
      <w:r>
        <w:rPr/>
        <w:t xml:space="preserve">W-xx, KPI, Risico, Bewijs – kruisverband (PDCA-geborgd)</w:t>
      </w:r>
    </w:p>
    <w:p>
      <w:pPr>
        <w:numPr>
          <w:ilvl w:val="0"/>
          <w:numId w:val="15"/>
        </w:numPr>
        <w:spacing w:lineRule="auto"/>
      </w:pPr>
      <w:r>
        <w:rPr/>
        <w:t xml:space="preserve">W-01 Servicedesk &amp; ITIL-procesvoering</w:t>
      </w:r>
    </w:p>
    <w:p>
      <w:pPr>
        <w:numPr>
          <w:ilvl w:val="1"/>
          <w:numId w:val="16"/>
        </w:numPr>
        <w:spacing w:lineRule="auto"/>
      </w:pPr>
      <w:r>
        <w:rPr/>
        <w:t xml:space="preserve">KPI: FCR ≥70%; CSAT ≥8,0; backlog &gt;7 dagen = 0.</w:t>
      </w:r>
    </w:p>
    <w:p>
      <w:pPr>
        <w:numPr>
          <w:ilvl w:val="1"/>
          <w:numId w:val="16"/>
        </w:numPr>
        <w:spacing w:lineRule="auto"/>
      </w:pPr>
      <w:r>
        <w:rPr/>
        <w:t xml:space="preserve">Risico: R-01 Onvolledige inventaris; R-12 Kenniserosie.</w:t>
      </w:r>
    </w:p>
    <w:p>
      <w:pPr>
        <w:numPr>
          <w:ilvl w:val="1"/>
          <w:numId w:val="16"/>
        </w:numPr>
        <w:spacing w:lineRule="auto"/>
      </w:pPr>
      <w:r>
        <w:rPr/>
        <w:t xml:space="preserve">Bewijs: ITIL-procesbeschrijvingen; kennisbank; CSAT-exports.</w:t>
      </w:r>
    </w:p>
    <w:p>
      <w:pPr>
        <w:numPr>
          <w:ilvl w:val="0"/>
          <w:numId w:val="15"/>
        </w:numPr>
        <w:spacing w:lineRule="auto"/>
      </w:pPr>
      <w:r>
        <w:rPr/>
        <w:t xml:space="preserve">W-02 24/7 Major Incident &amp; P1/P2</w:t>
      </w:r>
    </w:p>
    <w:p>
      <w:pPr>
        <w:numPr>
          <w:ilvl w:val="1"/>
          <w:numId w:val="17"/>
        </w:numPr>
        <w:spacing w:lineRule="auto"/>
      </w:pPr>
      <w:r>
        <w:rPr/>
        <w:t xml:space="preserve">KPI: P1 TTA &lt;30 min; P1 TTR &lt;4 uur; Post Incident Review ≤48 uur.</w:t>
      </w:r>
    </w:p>
    <w:p>
      <w:pPr>
        <w:numPr>
          <w:ilvl w:val="1"/>
          <w:numId w:val="17"/>
        </w:numPr>
        <w:spacing w:lineRule="auto"/>
      </w:pPr>
      <w:r>
        <w:rPr/>
        <w:t xml:space="preserve">Risico: R-13 Oproepketen faalt; R-14 Single point of failure in bereikbaarheid.</w:t>
      </w:r>
    </w:p>
    <w:p>
      <w:pPr>
        <w:numPr>
          <w:ilvl w:val="1"/>
          <w:numId w:val="17"/>
        </w:numPr>
        <w:spacing w:lineRule="auto"/>
      </w:pPr>
      <w:r>
        <w:rPr/>
        <w:t xml:space="preserve">Bewijs: Stand-byroosters; MIR-runbook; PIR-voorbeelden.</w:t>
      </w:r>
    </w:p>
    <w:p>
      <w:pPr>
        <w:numPr>
          <w:ilvl w:val="0"/>
          <w:numId w:val="15"/>
        </w:numPr>
        <w:spacing w:lineRule="auto"/>
      </w:pPr>
      <w:r>
        <w:rPr/>
        <w:t xml:space="preserve">W-03 Monitoring &amp; Patchmanagement</w:t>
      </w:r>
    </w:p>
    <w:p>
      <w:pPr>
        <w:numPr>
          <w:ilvl w:val="1"/>
          <w:numId w:val="18"/>
        </w:numPr>
        <w:spacing w:lineRule="auto"/>
      </w:pPr>
      <w:r>
        <w:rPr/>
        <w:t xml:space="preserve">KPI: Patch compliance ≥95%/14 dagen; detect to alert &lt;5 min; false positives &lt;2%.</w:t>
      </w:r>
    </w:p>
    <w:p>
      <w:pPr>
        <w:numPr>
          <w:ilvl w:val="1"/>
          <w:numId w:val="18"/>
        </w:numPr>
        <w:spacing w:lineRule="auto"/>
      </w:pPr>
      <w:r>
        <w:rPr/>
        <w:t xml:space="preserve">Risico: R-03 Patchvenster-conflict; R-15 Blind spots monitoring.</w:t>
      </w:r>
    </w:p>
    <w:p>
      <w:pPr>
        <w:numPr>
          <w:ilvl w:val="1"/>
          <w:numId w:val="18"/>
        </w:numPr>
        <w:spacing w:lineRule="auto"/>
      </w:pPr>
      <w:r>
        <w:rPr/>
        <w:t xml:space="preserve">Bewijs: Patch-vensterkalender; tooling-rapportages; exception-lijst.</w:t>
      </w:r>
    </w:p>
    <w:p>
      <w:pPr>
        <w:numPr>
          <w:ilvl w:val="0"/>
          <w:numId w:val="15"/>
        </w:numPr>
        <w:spacing w:lineRule="auto"/>
      </w:pPr>
      <w:r>
        <w:rPr/>
        <w:t xml:space="preserve">W-04 Beschikbaarheid &amp; Continuïteit (BCP/DR)</w:t>
      </w:r>
    </w:p>
    <w:p>
      <w:pPr>
        <w:numPr>
          <w:ilvl w:val="1"/>
          <w:numId w:val="19"/>
        </w:numPr>
        <w:spacing w:lineRule="auto"/>
      </w:pPr>
      <w:r>
        <w:rPr/>
        <w:t xml:space="preserve">KPI: Beschikbaarheid ≥99,8%; 2×/jaar DR-test; RTO/RPO gehaald.</w:t>
      </w:r>
    </w:p>
    <w:p>
      <w:pPr>
        <w:numPr>
          <w:ilvl w:val="1"/>
          <w:numId w:val="19"/>
        </w:numPr>
        <w:spacing w:lineRule="auto"/>
      </w:pPr>
      <w:r>
        <w:rPr/>
        <w:t xml:space="preserve">Risico: R-09 Onvoldoende BCP-dekking; R-16 Ongeteste failover.</w:t>
      </w:r>
    </w:p>
    <w:p>
      <w:pPr>
        <w:numPr>
          <w:ilvl w:val="1"/>
          <w:numId w:val="19"/>
        </w:numPr>
        <w:spacing w:lineRule="auto"/>
      </w:pPr>
      <w:r>
        <w:rPr/>
        <w:t xml:space="preserve">Bewijs: BCP; DR-testverslagen; failover-scripts.</w:t>
      </w:r>
    </w:p>
    <w:p>
      <w:pPr>
        <w:numPr>
          <w:ilvl w:val="0"/>
          <w:numId w:val="15"/>
        </w:numPr>
        <w:spacing w:lineRule="auto"/>
      </w:pPr>
      <w:r>
        <w:rPr/>
        <w:t xml:space="preserve">W-05 Security &amp; Compliance (ISO/NEN/EU-data)</w:t>
      </w:r>
    </w:p>
    <w:p>
      <w:pPr>
        <w:numPr>
          <w:ilvl w:val="1"/>
          <w:numId w:val="20"/>
        </w:numPr>
        <w:spacing w:lineRule="auto"/>
      </w:pPr>
      <w:r>
        <w:rPr/>
        <w:t xml:space="preserve">KPI: CVSS ≥9.0 opgelost &lt;7 dagen; 100% EU data residency; 0 kritieke auditbevindingen.</w:t>
      </w:r>
    </w:p>
    <w:p>
      <w:pPr>
        <w:numPr>
          <w:ilvl w:val="1"/>
          <w:numId w:val="20"/>
        </w:numPr>
        <w:spacing w:lineRule="auto"/>
      </w:pPr>
      <w:r>
        <w:rPr/>
        <w:t xml:space="preserve">Risico: R-07 Credential-compromittering; R-17 Data residency schending.</w:t>
      </w:r>
    </w:p>
    <w:p>
      <w:pPr>
        <w:numPr>
          <w:ilvl w:val="1"/>
          <w:numId w:val="20"/>
        </w:numPr>
        <w:spacing w:lineRule="auto"/>
      </w:pPr>
      <w:r>
        <w:rPr/>
        <w:t xml:space="preserve">Bewijs: ISO 27001/NEN 7510 certificaten; DPA’s; datalocatieverklaringen.</w:t>
      </w:r>
    </w:p>
    <w:p>
      <w:pPr>
        <w:numPr>
          <w:ilvl w:val="0"/>
          <w:numId w:val="15"/>
        </w:numPr>
        <w:spacing w:lineRule="auto"/>
      </w:pPr>
      <w:r>
        <w:rPr/>
        <w:t xml:space="preserve">W-06 Microsoft 365 beheer</w:t>
      </w:r>
    </w:p>
    <w:p>
      <w:pPr>
        <w:numPr>
          <w:ilvl w:val="1"/>
          <w:numId w:val="21"/>
        </w:numPr>
        <w:spacing w:lineRule="auto"/>
      </w:pPr>
      <w:r>
        <w:rPr/>
        <w:t xml:space="preserve">KPI: Secure Score +10% in 6 mnd; policy compliance ≥95%.</w:t>
      </w:r>
    </w:p>
    <w:p>
      <w:pPr>
        <w:numPr>
          <w:ilvl w:val="1"/>
          <w:numId w:val="21"/>
        </w:numPr>
        <w:spacing w:lineRule="auto"/>
      </w:pPr>
      <w:r>
        <w:rPr/>
        <w:t xml:space="preserve">Risico: R-18 Misconfiguraties; R-19 Onbeheerste shadow IT.</w:t>
      </w:r>
    </w:p>
    <w:p>
      <w:pPr>
        <w:numPr>
          <w:ilvl w:val="1"/>
          <w:numId w:val="21"/>
        </w:numPr>
        <w:spacing w:lineRule="auto"/>
      </w:pPr>
      <w:r>
        <w:rPr/>
        <w:t xml:space="preserve">Bewijs: Secure Score-rapporten; policy-overzichten; change-logs.</w:t>
      </w:r>
    </w:p>
    <w:p>
      <w:pPr>
        <w:numPr>
          <w:ilvl w:val="0"/>
          <w:numId w:val="15"/>
        </w:numPr>
        <w:spacing w:lineRule="auto"/>
      </w:pPr>
      <w:r>
        <w:rPr/>
        <w:t xml:space="preserve">W-07 Rapportage &amp; KPI-governance</w:t>
      </w:r>
    </w:p>
    <w:p>
      <w:pPr>
        <w:numPr>
          <w:ilvl w:val="1"/>
          <w:numId w:val="22"/>
        </w:numPr>
        <w:spacing w:lineRule="auto"/>
      </w:pPr>
      <w:r>
        <w:rPr/>
        <w:t xml:space="preserve">KPI: 100% maandrapportage op tijd; afwijkingen geanalyseerd ≤10 werkdagen.</w:t>
      </w:r>
    </w:p>
    <w:p>
      <w:pPr>
        <w:numPr>
          <w:ilvl w:val="1"/>
          <w:numId w:val="22"/>
        </w:numPr>
        <w:spacing w:lineRule="auto"/>
      </w:pPr>
      <w:r>
        <w:rPr/>
        <w:t xml:space="preserve">Risico: R-20 Onvolledige data; R-21 Trendblinde KPI’s.</w:t>
      </w:r>
    </w:p>
    <w:p>
      <w:pPr>
        <w:numPr>
          <w:ilvl w:val="1"/>
          <w:numId w:val="22"/>
        </w:numPr>
        <w:spacing w:lineRule="auto"/>
      </w:pPr>
      <w:r>
        <w:rPr/>
        <w:t xml:space="preserve">Bewijs: SLA-rapporten; managementreviewnotulen; verbeterregister (CSI).</w:t>
      </w:r>
    </w:p>
    <w:p>
      <w:pPr>
        <w:numPr>
          <w:ilvl w:val="0"/>
          <w:numId w:val="15"/>
        </w:numPr>
        <w:spacing w:lineRule="auto"/>
      </w:pPr>
      <w:r>
        <w:rPr/>
        <w:t xml:space="preserve">W-08 Onboarding &amp; Transitie</w:t>
      </w:r>
    </w:p>
    <w:p>
      <w:pPr>
        <w:numPr>
          <w:ilvl w:val="1"/>
          <w:numId w:val="23"/>
        </w:numPr>
        <w:spacing w:lineRule="auto"/>
      </w:pPr>
      <w:r>
        <w:rPr/>
        <w:t xml:space="preserve">KPI: Transitie op tijd/kwaliteit 100%; geen P1’s door transitie.</w:t>
      </w:r>
    </w:p>
    <w:p>
      <w:pPr>
        <w:numPr>
          <w:ilvl w:val="1"/>
          <w:numId w:val="23"/>
        </w:numPr>
        <w:spacing w:lineRule="auto"/>
      </w:pPr>
      <w:r>
        <w:rPr/>
        <w:t xml:space="preserve">Risico: R-22 Onvolledige overdracht; R-23 Beperkingen toegang.</w:t>
      </w:r>
    </w:p>
    <w:p>
      <w:pPr>
        <w:numPr>
          <w:ilvl w:val="1"/>
          <w:numId w:val="23"/>
        </w:numPr>
        <w:spacing w:lineRule="auto"/>
      </w:pPr>
      <w:r>
        <w:rPr/>
        <w:t xml:space="preserve">Bewijs: Transitieplan; asset- en servicecatalogus; cut-over draaiboek.</w:t>
      </w:r>
    </w:p>
    <w:p>
      <w:pPr>
        <w:numPr>
          <w:ilvl w:val="0"/>
          <w:numId w:val="15"/>
        </w:numPr>
        <w:spacing w:lineRule="auto"/>
      </w:pPr>
      <w:r>
        <w:rPr/>
        <w:t xml:space="preserve">W-09 Leveranciers- &amp; Escalatiemanagement</w:t>
      </w:r>
    </w:p>
    <w:p>
      <w:pPr>
        <w:numPr>
          <w:ilvl w:val="1"/>
          <w:numId w:val="24"/>
        </w:numPr>
        <w:spacing w:lineRule="auto"/>
      </w:pPr>
      <w:r>
        <w:rPr/>
        <w:t xml:space="preserve">KPI: 100% contractafspraken met kritieke leveranciers; escalatie-responstijd &lt;2 uur.</w:t>
      </w:r>
    </w:p>
    <w:p>
      <w:pPr>
        <w:numPr>
          <w:ilvl w:val="1"/>
          <w:numId w:val="24"/>
        </w:numPr>
        <w:spacing w:lineRule="auto"/>
      </w:pPr>
      <w:r>
        <w:rPr/>
        <w:t xml:space="preserve">Risico: R-06 Leveranciersstoring; R-24 Onklare escalatielijnen.</w:t>
      </w:r>
    </w:p>
    <w:p>
      <w:pPr>
        <w:numPr>
          <w:ilvl w:val="1"/>
          <w:numId w:val="24"/>
        </w:numPr>
        <w:spacing w:lineRule="auto"/>
      </w:pPr>
      <w:r>
        <w:rPr/>
        <w:t xml:space="preserve">Bewijs: Escalatieladders; leveranciers-SLA’s; reviewverslagen.</w:t>
      </w:r>
    </w:p>
    <w:p>
      <w:pPr>
        <w:numPr>
          <w:ilvl w:val="0"/>
          <w:numId w:val="15"/>
        </w:numPr>
        <w:spacing w:lineRule="auto"/>
      </w:pPr>
      <w:r>
        <w:rPr/>
        <w:t xml:space="preserve">W-10 Duurzaamheid &amp; Green Ops</w:t>
      </w:r>
    </w:p>
    <w:p>
      <w:pPr>
        <w:numPr>
          <w:ilvl w:val="1"/>
          <w:numId w:val="25"/>
        </w:numPr>
        <w:spacing w:lineRule="auto"/>
      </w:pPr>
      <w:r>
        <w:rPr/>
        <w:t xml:space="preserve">KPI: CO2e ↓ ≥15% in 3 jaar; ≥90% remote interventies; 100% e-waste gecertificeerd verwerkt.</w:t>
      </w:r>
    </w:p>
    <w:p>
      <w:pPr>
        <w:numPr>
          <w:ilvl w:val="1"/>
          <w:numId w:val="25"/>
        </w:numPr>
        <w:spacing w:lineRule="auto"/>
      </w:pPr>
      <w:r>
        <w:rPr/>
        <w:t xml:space="preserve">Risico: R-04 Onvoldoende brondata; R-25 Afhankelijkheid niet-duurzame keten.</w:t>
      </w:r>
    </w:p>
    <w:p>
      <w:pPr>
        <w:numPr>
          <w:ilvl w:val="1"/>
          <w:numId w:val="25"/>
        </w:numPr>
        <w:spacing w:lineRule="auto"/>
      </w:pPr>
      <w:r>
        <w:rPr/>
        <w:t xml:space="preserve">Bewijs: CO2-rapportages; PUE/energierapporten; e-waste-certificaten.</w:t>
      </w:r>
    </w:p>
    <w:p>
      <w:pPr>
        <w:spacing w:lineRule="auto"/>
      </w:pPr>
      <w:r>
        <w:rPr/>
        <w:t xml:space="preserve">Aansluiting op eisen en SLA’s (SMART)</w:t>
      </w:r>
    </w:p>
    <w:p>
      <w:pPr>
        <w:numPr>
          <w:ilvl w:val="0"/>
          <w:numId w:val="26"/>
        </w:numPr>
        <w:spacing w:lineRule="auto"/>
      </w:pPr>
      <w:r>
        <w:rPr/>
        <w:t xml:space="preserve">Beschikbaarheid kritieke systemen 99,8% per maand – W-04; Controle: maandrapportage; Act: root cause &amp; verbetervoorstel binnen 10 werkdagen bij afwijking.</w:t>
      </w:r>
    </w:p>
    <w:p>
      <w:pPr>
        <w:numPr>
          <w:ilvl w:val="0"/>
          <w:numId w:val="26"/>
        </w:numPr>
        <w:spacing w:lineRule="auto"/>
      </w:pPr>
      <w:r>
        <w:rPr/>
        <w:t xml:space="preserve">P1 responstijd &lt;30 min – W-02; Monitoring: automatische alerting en 24/7 standby; Act: PIR en procesaanpassing binnen 2 werkdagen bij overschrijding.</w:t>
      </w:r>
    </w:p>
    <w:p>
      <w:pPr>
        <w:numPr>
          <w:ilvl w:val="0"/>
          <w:numId w:val="26"/>
        </w:numPr>
        <w:spacing w:lineRule="auto"/>
      </w:pPr>
      <w:r>
        <w:rPr/>
        <w:t xml:space="preserve">P1 oplostijd &lt;4 uur – W-02; Escalatie naar 3e lijn en leveranciers conform W-09; Act: runbook-update en capaciteitscheck.</w:t>
      </w:r>
    </w:p>
    <w:p>
      <w:pPr>
        <w:numPr>
          <w:ilvl w:val="0"/>
          <w:numId w:val="26"/>
        </w:numPr>
        <w:spacing w:lineRule="auto"/>
      </w:pPr>
      <w:r>
        <w:rPr/>
        <w:t xml:space="preserve">Monitoring &amp; patching geborgd – W-03; Meet: compliance ≥95%/14 dagen; Act: exception review en change in patchvensters.</w:t>
      </w:r>
    </w:p>
    <w:p>
      <w:pPr>
        <w:numPr>
          <w:ilvl w:val="0"/>
          <w:numId w:val="26"/>
        </w:numPr>
        <w:spacing w:lineRule="auto"/>
      </w:pPr>
      <w:r>
        <w:rPr/>
        <w:t xml:space="preserve">EU-dataverwerking 100% – W-05; Controle: leveranciers- en locatie-audits; Act: contractuele herstelmaatregel/exit-strategie.</w:t>
      </w:r>
    </w:p>
    <w:p>
      <w:pPr>
        <w:spacing w:lineRule="auto"/>
      </w:pPr>
      <w:r>
        <w:rPr/>
        <w:t xml:space="preserve">Rapportage- en PDCA-cyclus</w:t>
      </w:r>
    </w:p>
    <w:p>
      <w:pPr>
        <w:numPr>
          <w:ilvl w:val="0"/>
          <w:numId w:val="27"/>
        </w:numPr>
        <w:spacing w:lineRule="auto"/>
      </w:pPr>
      <w:r>
        <w:rPr/>
        <w:t xml:space="preserve">Plan: Serviceplan, KPI-boek, risicodossier, transitieplan, BCP/DR-plan.</w:t>
      </w:r>
    </w:p>
    <w:p>
      <w:pPr>
        <w:numPr>
          <w:ilvl w:val="0"/>
          <w:numId w:val="27"/>
        </w:numPr>
        <w:spacing w:lineRule="auto"/>
      </w:pPr>
      <w:r>
        <w:rPr/>
        <w:t xml:space="preserve">Do: Uitvoering beheerprocessen, 24/7 incidentafhandeling, proactieve monitoring, M365-beheer, security-controls.</w:t>
      </w:r>
    </w:p>
    <w:p>
      <w:pPr>
        <w:numPr>
          <w:ilvl w:val="0"/>
          <w:numId w:val="27"/>
        </w:numPr>
        <w:spacing w:lineRule="auto"/>
      </w:pPr>
      <w:r>
        <w:rPr/>
        <w:t xml:space="preserve">Check: Maandelijkse SLA-rapportage, kwartaalmanagementreview, halfjaarlijkse DR-tests, auditcyclus ISO 9001/27001.</w:t>
      </w:r>
    </w:p>
    <w:p>
      <w:pPr>
        <w:numPr>
          <w:ilvl w:val="0"/>
          <w:numId w:val="27"/>
        </w:numPr>
        <w:spacing w:lineRule="auto"/>
      </w:pPr>
      <w:r>
        <w:rPr/>
        <w:t xml:space="preserve">Act: CSI-roadmap, wijzigingsvoorstellen, lessons learned, bijstelling risicoprofiel en leveranciersafspraken.</w:t>
      </w:r>
    </w:p>
    <w:p>
      <w:pPr>
        <w:spacing w:lineRule="auto"/>
      </w:pPr>
      <w:r>
        <w:rPr/>
        <w:t xml:space="preserve">Koppeling aan bewijs en referenties</w:t>
      </w:r>
    </w:p>
    <w:p>
      <w:pPr>
        <w:numPr>
          <w:ilvl w:val="0"/>
          <w:numId w:val="28"/>
        </w:numPr>
        <w:spacing w:lineRule="auto"/>
      </w:pPr>
      <w:r>
        <w:rPr/>
        <w:t xml:space="preserve">Certificeringen: ISO 27001, ISO 9001, NEN 7510, Microsoft Solutions Partner – Modern Work, Fortinet NSE4.</w:t>
      </w:r>
    </w:p>
    <w:p>
      <w:pPr>
        <w:numPr>
          <w:ilvl w:val="0"/>
          <w:numId w:val="28"/>
        </w:numPr>
        <w:spacing w:lineRule="auto"/>
      </w:pPr>
      <w:r>
        <w:rPr/>
        <w:t xml:space="preserve">Documentatie: Proceshandboeken (Incident/Change/Problem), escalatieladders, BCP/DR-draaiboeken, risicoregister, KPI-rapportages, patch- en monitoring-exports.</w:t>
      </w:r>
    </w:p>
    <w:p>
      <w:pPr>
        <w:numPr>
          <w:ilvl w:val="0"/>
          <w:numId w:val="28"/>
        </w:numPr>
        <w:spacing w:lineRule="auto"/>
      </w:pPr>
      <w:r>
        <w:rPr/>
        <w:t xml:space="preserve">Governance: Notulen managementreviews, kwartaalreviews met trend- en root cause-analyses, actielijsten.</w:t>
      </w:r>
    </w:p>
    <w:p>
      <w:pPr>
        <w:spacing w:lineRule="auto"/>
      </w:pPr>
      <w:r>
        <w:rPr/>
        <w:t xml:space="preserve">Prijsbeoordeling – rekenregel</w:t>
      </w:r>
    </w:p>
    <w:p>
      <w:pPr>
        <w:numPr>
          <w:ilvl w:val="0"/>
          <w:numId w:val="29"/>
        </w:numPr>
        <w:spacing w:lineRule="auto"/>
      </w:pPr>
      <w:r>
        <w:rPr/>
        <w:t xml:space="preserve">Score Prijs = (Laagste ingediende prijs / Inschrijvingsprijs) × 10; weging 20%.</w:t>
      </w:r>
    </w:p>
    <w:p>
      <w:pPr>
        <w:numPr>
          <w:ilvl w:val="0"/>
          <w:numId w:val="29"/>
        </w:numPr>
        <w:spacing w:lineRule="auto"/>
      </w:pPr>
      <w:r>
        <w:rPr/>
        <w:t xml:space="preserve">Transparantie: vast tarief per gebruiker/maand; staffels; duidelijke uitsluitingen conform offerte; indexatie: CBS CPI.</w:t>
      </w:r>
    </w:p>
    <w:p>
      <w:pPr>
        <w:numPr>
          <w:ilvl w:val="0"/>
          <w:numId w:val="29"/>
        </w:numPr>
        <w:spacing w:lineRule="auto"/>
      </w:pPr>
      <w:r>
        <w:rPr/>
        <w:t xml:space="preserve">PDCA op kosten: kwartaal-TCO review; aanbevelingen tot kostenreductie binnen vastgestelde scope.</w:t>
      </w:r>
    </w:p>
    <w:p>
      <w:pPr>
        <w:spacing w:lineRule="auto"/>
      </w:pPr>
      <w:r>
        <w:rPr/>
        <w:t xml:space="preserve">Conformiteit met aanbestedingsstukken</w:t>
      </w:r>
    </w:p>
    <w:p>
      <w:pPr>
        <w:numPr>
          <w:ilvl w:val="0"/>
          <w:numId w:val="30"/>
        </w:numPr>
        <w:spacing w:lineRule="auto"/>
      </w:pPr>
      <w:r>
        <w:rPr/>
        <w:t xml:space="preserve">In lijn met must- en KO-eisen, inclusief 24/7 bereikbaarheid, ITIL-procesvoering, EU-data, BCP, escalatie en M365-ondersteuning.</w:t>
      </w:r>
    </w:p>
    <w:p>
      <w:pPr>
        <w:numPr>
          <w:ilvl w:val="0"/>
          <w:numId w:val="30"/>
        </w:numPr>
        <w:spacing w:lineRule="auto"/>
      </w:pPr>
      <w:r>
        <w:rPr/>
        <w:t xml:space="preserve">EMVI-beoordeling sluit aan op gevraagde deliverables: Plan van Aanpak (W-08), Risicodossier (W-07/W-04/W-05), KPI-overzicht (W-07).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Beoordelingsmethodiek (EMVI/BPKV)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