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 — Digital Ease B.V. — Raamovereenkomst Catering- en Horecadiensten voor Gemeente Middenstad (ref. GV-IT-2026-001)</w:t>
      </w:r>
    </w:p>
    <w:p>
      <w:pPr>
        <w:spacing w:lineRule="auto"/>
      </w:pPr>
      <w:r>
        <w:rPr/>
        <w:t xml:space="preserve">Doel en reikwijdte</w:t>
      </w:r>
    </w:p>
    <w:p>
      <w:pPr>
        <w:numPr>
          <w:ilvl w:val="0"/>
          <w:numId w:val="1"/>
        </w:numPr>
        <w:spacing w:lineRule="auto"/>
      </w:pPr>
      <w:r>
        <w:rPr/>
        <w:t xml:space="preserve">Doel: aantonen dat Digital Ease B.V. volledig voldoet aan KO-eisen en REQ’s en dat de SLA-KPI’s aantoonbaar en PDCA-conform geborgd zijn.</w:t>
      </w:r>
    </w:p>
    <w:p>
      <w:pPr>
        <w:numPr>
          <w:ilvl w:val="0"/>
          <w:numId w:val="1"/>
        </w:numPr>
        <w:spacing w:lineRule="auto"/>
      </w:pPr>
      <w:r>
        <w:rPr/>
        <w:t xml:space="preserve">Scope: beheer, onderhoud, beveiliging en support van cloud- en infrastructuuroplossingen incl. Microsoft 365, voor overheidsomgevingen (EU-dataverwerking, hoge beschikbaarheid, 24/7 bereikbaarheidsdienst).</w:t>
      </w:r>
    </w:p>
    <w:p>
      <w:pPr>
        <w:spacing w:lineRule="auto"/>
      </w:pPr>
      <w:r>
        <w:rPr/>
        <w:t xml:space="preserve">Definitie W-xx (eisen/kaders)</w:t>
      </w:r>
    </w:p>
    <w:p>
      <w:pPr>
        <w:numPr>
          <w:ilvl w:val="0"/>
          <w:numId w:val="2"/>
        </w:numPr>
        <w:spacing w:lineRule="auto"/>
      </w:pPr>
      <w:r>
        <w:rPr/>
        <w:t xml:space="preserve">W-01 KO: ISO 27001 gecertificeerd</w:t>
      </w:r>
    </w:p>
    <w:p>
      <w:pPr>
        <w:numPr>
          <w:ilvl w:val="0"/>
          <w:numId w:val="2"/>
        </w:numPr>
        <w:spacing w:lineRule="auto"/>
      </w:pPr>
      <w:r>
        <w:rPr/>
        <w:t xml:space="preserve">W-02 KO: ISO 9001 gecertificeerd</w:t>
      </w:r>
    </w:p>
    <w:p>
      <w:pPr>
        <w:numPr>
          <w:ilvl w:val="0"/>
          <w:numId w:val="2"/>
        </w:numPr>
        <w:spacing w:lineRule="auto"/>
      </w:pPr>
      <w:r>
        <w:rPr/>
        <w:t xml:space="preserve">W-03 KO: 24/7 bereikbaarheidsdienst</w:t>
      </w:r>
    </w:p>
    <w:p>
      <w:pPr>
        <w:numPr>
          <w:ilvl w:val="0"/>
          <w:numId w:val="2"/>
        </w:numPr>
        <w:spacing w:lineRule="auto"/>
      </w:pPr>
      <w:r>
        <w:rPr/>
        <w:t xml:space="preserve">W-04 REQ: Maximale responstijd P1-incidenten 30 min</w:t>
      </w:r>
    </w:p>
    <w:p>
      <w:pPr>
        <w:numPr>
          <w:ilvl w:val="0"/>
          <w:numId w:val="2"/>
        </w:numPr>
        <w:spacing w:lineRule="auto"/>
      </w:pPr>
      <w:r>
        <w:rPr/>
        <w:t xml:space="preserve">W-05 REQ: Beschikbaarheid 99,8% per maand</w:t>
      </w:r>
    </w:p>
    <w:p>
      <w:pPr>
        <w:numPr>
          <w:ilvl w:val="0"/>
          <w:numId w:val="2"/>
        </w:numPr>
        <w:spacing w:lineRule="auto"/>
      </w:pPr>
      <w:r>
        <w:rPr/>
        <w:t xml:space="preserve">W-06 REQ: Monitoring &amp; patchmanagement volledig geborgd</w:t>
      </w:r>
    </w:p>
    <w:p>
      <w:pPr>
        <w:numPr>
          <w:ilvl w:val="0"/>
          <w:numId w:val="2"/>
        </w:numPr>
        <w:spacing w:lineRule="auto"/>
      </w:pPr>
      <w:r>
        <w:rPr/>
        <w:t xml:space="preserve">W-07 REQ: ITIL-gebaseerde servicedeskprocessen</w:t>
      </w:r>
    </w:p>
    <w:p>
      <w:pPr>
        <w:numPr>
          <w:ilvl w:val="0"/>
          <w:numId w:val="2"/>
        </w:numPr>
        <w:spacing w:lineRule="auto"/>
      </w:pPr>
      <w:r>
        <w:rPr/>
        <w:t xml:space="preserve">W-08 REQ: Alle data wordt binnen de EU verwerkt</w:t>
      </w:r>
    </w:p>
    <w:p>
      <w:pPr>
        <w:numPr>
          <w:ilvl w:val="0"/>
          <w:numId w:val="2"/>
        </w:numPr>
        <w:spacing w:lineRule="auto"/>
      </w:pPr>
      <w:r>
        <w:rPr/>
        <w:t xml:space="preserve">W-09 REQ: Escalatieprocedure voor incidenten &amp; changes</w:t>
      </w:r>
    </w:p>
    <w:p>
      <w:pPr>
        <w:numPr>
          <w:ilvl w:val="0"/>
          <w:numId w:val="2"/>
        </w:numPr>
        <w:spacing w:lineRule="auto"/>
      </w:pPr>
      <w:r>
        <w:rPr/>
        <w:t xml:space="preserve">W-10 REQ: Continuïteitsplan (BCP) beschikbaar</w:t>
      </w:r>
    </w:p>
    <w:p>
      <w:pPr>
        <w:numPr>
          <w:ilvl w:val="0"/>
          <w:numId w:val="2"/>
        </w:numPr>
        <w:spacing w:lineRule="auto"/>
      </w:pPr>
      <w:r>
        <w:rPr/>
        <w:t xml:space="preserve">W-11 REQ: Personeel beschikt over VOG indien vereist</w:t>
      </w:r>
    </w:p>
    <w:p>
      <w:pPr>
        <w:numPr>
          <w:ilvl w:val="0"/>
          <w:numId w:val="2"/>
        </w:numPr>
        <w:spacing w:lineRule="auto"/>
      </w:pPr>
      <w:r>
        <w:rPr/>
        <w:t xml:space="preserve">W-12 REQ: Proactieve monitoring van netwerk &amp; endpoints</w:t>
      </w:r>
    </w:p>
    <w:p>
      <w:pPr>
        <w:numPr>
          <w:ilvl w:val="0"/>
          <w:numId w:val="2"/>
        </w:numPr>
        <w:spacing w:lineRule="auto"/>
      </w:pPr>
      <w:r>
        <w:rPr/>
        <w:t xml:space="preserve">W-13 REQ: Ondersteuning Microsoft 365 omgeving</w:t>
      </w:r>
    </w:p>
    <w:p>
      <w:pPr>
        <w:spacing w:lineRule="auto"/>
      </w:pPr>
      <w:r>
        <w:rPr/>
        <w:t xml:space="preserve">KPI’s (SLA)</w:t>
      </w:r>
    </w:p>
    <w:p>
      <w:pPr>
        <w:numPr>
          <w:ilvl w:val="0"/>
          <w:numId w:val="3"/>
        </w:numPr>
        <w:spacing w:lineRule="auto"/>
      </w:pPr>
      <w:r>
        <w:rPr/>
        <w:t xml:space="preserve">KPI-01 Beschikbaarheid kritieke systemen: ≥99,8% p/m (SLA)</w:t>
      </w:r>
    </w:p>
    <w:p>
      <w:pPr>
        <w:numPr>
          <w:ilvl w:val="0"/>
          <w:numId w:val="3"/>
        </w:numPr>
        <w:spacing w:lineRule="auto"/>
      </w:pPr>
      <w:r>
        <w:rPr/>
        <w:t xml:space="preserve">KPI-02 Responstijd P1: &lt;30 min (SLA)</w:t>
      </w:r>
    </w:p>
    <w:p>
      <w:pPr>
        <w:numPr>
          <w:ilvl w:val="0"/>
          <w:numId w:val="3"/>
        </w:numPr>
        <w:spacing w:lineRule="auto"/>
      </w:pPr>
      <w:r>
        <w:rPr/>
        <w:t xml:space="preserve">KPI-03 Oplostijd P1: &lt;4 uur (SLA)</w:t>
      </w:r>
    </w:p>
    <w:p>
      <w:pPr>
        <w:numPr>
          <w:ilvl w:val="0"/>
          <w:numId w:val="3"/>
        </w:numPr>
        <w:spacing w:lineRule="auto"/>
      </w:pPr>
      <w:r>
        <w:rPr/>
        <w:t xml:space="preserve">KPI-04 Patchcompliance kritieke updates: ≥95% binnen 14 dagen (operationele KPI ter borging W-06)</w:t>
      </w:r>
    </w:p>
    <w:p>
      <w:pPr>
        <w:spacing w:lineRule="auto"/>
      </w:pPr>
      <w:r>
        <w:rPr/>
        <w:t xml:space="preserve">Overzicht bijlagen | Bijlage | Beschrijving | Relatie (W-xx/KO/REQ) | Status | Verwijzing (pag./sectie) | | A01 | ISO 27001 certificaat (geaccrediteerde CI), scope beheer cloud/infrastructuur | W-01/KO | Gereed voor upload | Sectie: Scope &amp; geldigheid | | A02 | ISO 9001 certificaat (geaccrediteerde CI) | W-02/KO | Gereed voor upload | Sectie: Scope &amp; geldigheid | | A03 | Verklaring 24/7 bereikbaarheidsdienst + bereikbaarheidsrooster | W-03/KO | Gereed voor upload | Secties: “Dekking” en “Piketrooster” | | A04 | SLA &amp; KPI-register (99,8%, &lt;30 min, &lt;4 uur, patchcompliance) | W-04, W-05, W-06 / REQ | Gereed voor upload | Secties: SLA-definities, Meetmethode | | A05 | Plan van Aanpak implementatie &amp; transitie | Deliverable | Gereed voor upload | Hoofdstukken: Transitie, Governance, Go-Live | | A06 | Risicodossier incl. mitigatie &amp; rest-risico’s | Deliverable | Gereed voor upload | Tabel R-xx; Heatmap | | A07 | Business Continuity Plan (BCP) | W-10/REQ | Gereed voor upload | Secties: RTO/RPO, Crisisorganisatie | | A08 | DR-testverslag laatste oefening | W-10/REQ | Gereed voor upload | Secties: Scenario, Resultaten, Verbeteracties | | A09 | ITIL-processen Servicedesk (Incident, Request, Problem, Change) | W-07/REQ | Gereed voor upload | Procesflows, RACI | | A10 | Escalatie- en Major Incident Procedure | W-09/REQ | Gereed voor upload | Drempelwaarden, Communicatiematrix | | A11 | Monitoring &amp; Patchbeleid + toolingscreenshots | W-06, W-12/REQ | Gereed voor upload | Policies; Toolingoverzichten | | A12 | Patchcompliancerapport (maandvoorbeeld) | W-06/REQ | Gereed voor upload | KPI-04 resultaten | | A13 | EU-datalocatieoverzicht + Verwerkersovereenkomst (concept) | W-08/REQ | Gereed voor upload | Datamap; DPA-clausules | | A14 | VOG-procesbeschrijving + geanonimiseerde controles | W-11/REQ | Gereed voor upload | Processtappen; Voorbeelden | | A15 | Microsoft 365 ondersteuning: certificaten &amp; competentiematrix | W-13/REQ | Gereed voor upload | Rollen, Certificeringen | | A16 | Informatiebeveiligingsbeleid + SoA (ISO 27001) | W-01/KO; W-06, W-12/REQ | Gereed voor upload | Beleid; SoA-controls | | A17 | DPIA-procedure &amp; template | W-08/REQ | Gereed voor upload | Stappenplan; Rollen | | A18 | Leveranciers- en subverwerkersregister (EU) | W-08/REQ | Gereed voor upload | Register; Exit/controle | | A19 | Voorbeeld maandelijkse SLA-rapportage | KPI-01/02/03 | Gereed voor upload | KPI-trends; Root cause | | A20 | Verbeterregister (continual improvement log) | PDCA/Act | Gereed voor upload | Verbeteracties; Status | | A21 | Assumpties &amp; Uitsluitingen-memo (conform inschrijving) | Contractkader | Gereed voor upload | Overzicht Assumpties/Uitsluitingen | | A22 | Interne auditrapporten ISO 9001/27001 + Management Review | PDCA/Check | Gereed voor upload | Bevindingen; Besluiten |</w:t>
      </w:r>
    </w:p>
    <w:p>
      <w:pPr>
        <w:spacing w:lineRule="auto"/>
      </w:pPr>
      <w:r>
        <w:rPr/>
        <w:t xml:space="preserve">Kruisverband W-xx ↔ KPI ↔ Risico ↔ Bewijs</w:t>
      </w:r>
    </w:p>
    <w:p>
      <w:pPr>
        <w:numPr>
          <w:ilvl w:val="0"/>
          <w:numId w:val="4"/>
        </w:numPr>
        <w:spacing w:lineRule="auto"/>
      </w:pPr>
      <w:r>
        <w:rPr/>
        <w:t xml:space="preserve">W-01 (ISO 27001) ↔ KPI-01/02/03 indirect (procesrijpheid) ↔ R-04 (niet-EU subverwerker), R-07 (piketcontinuïteit) ↔ A01, A16, A22</w:t>
      </w:r>
    </w:p>
    <w:p>
      <w:pPr>
        <w:numPr>
          <w:ilvl w:val="0"/>
          <w:numId w:val="4"/>
        </w:numPr>
        <w:spacing w:lineRule="auto"/>
      </w:pPr>
      <w:r>
        <w:rPr/>
        <w:t xml:space="preserve">W-02 (ISO 9001) ↔ KPI-02/03 (doorlooptijden) ↔ R-03 (goedkeuringen vertragen oplostijd) ↔ A02, A22</w:t>
      </w:r>
    </w:p>
    <w:p>
      <w:pPr>
        <w:numPr>
          <w:ilvl w:val="0"/>
          <w:numId w:val="4"/>
        </w:numPr>
        <w:spacing w:lineRule="auto"/>
      </w:pPr>
      <w:r>
        <w:rPr/>
        <w:t xml:space="preserve">W-03 (24/7) ↔ KPI-02/03 ↔ R-07 (bezetting/piekbelasting) ↔ A03, A10</w:t>
      </w:r>
    </w:p>
    <w:p>
      <w:pPr>
        <w:numPr>
          <w:ilvl w:val="0"/>
          <w:numId w:val="4"/>
        </w:numPr>
        <w:spacing w:lineRule="auto"/>
      </w:pPr>
      <w:r>
        <w:rPr/>
        <w:t xml:space="preserve">W-04 (P1 &lt;30 min) ↔ KPI-02 ↔ R-02 (toegangsvertraging), R-03 (autorisaties) ↔ A04, A09, A10, A19</w:t>
      </w:r>
    </w:p>
    <w:p>
      <w:pPr>
        <w:numPr>
          <w:ilvl w:val="0"/>
          <w:numId w:val="4"/>
        </w:numPr>
        <w:spacing w:lineRule="auto"/>
      </w:pPr>
      <w:r>
        <w:rPr/>
        <w:t xml:space="preserve">W-05 (99,8%) ↔ KPI-01 ↔ R-05 (patchvenster), R-08 (M365 grootschalig incident) ↔ A04, A07, A08, A11, A19</w:t>
      </w:r>
    </w:p>
    <w:p>
      <w:pPr>
        <w:numPr>
          <w:ilvl w:val="0"/>
          <w:numId w:val="4"/>
        </w:numPr>
        <w:spacing w:lineRule="auto"/>
      </w:pPr>
      <w:r>
        <w:rPr/>
        <w:t xml:space="preserve">W-06 (Monitoring &amp; patch) ↔ KPI-01/04 ↔ R-05 (change windows), R-02 (toegang) ↔ A11, A12, A16</w:t>
      </w:r>
    </w:p>
    <w:p>
      <w:pPr>
        <w:numPr>
          <w:ilvl w:val="0"/>
          <w:numId w:val="4"/>
        </w:numPr>
        <w:spacing w:lineRule="auto"/>
      </w:pPr>
      <w:r>
        <w:rPr/>
        <w:t xml:space="preserve">W-07 (ITIL-servicedesk) ↔ KPI-02/03 ↔ R-03 (CAB/goedkeuring) ↔ A09, A10, A19</w:t>
      </w:r>
    </w:p>
    <w:p>
      <w:pPr>
        <w:numPr>
          <w:ilvl w:val="0"/>
          <w:numId w:val="4"/>
        </w:numPr>
        <w:spacing w:lineRule="auto"/>
      </w:pPr>
      <w:r>
        <w:rPr/>
        <w:t xml:space="preserve">W-08 (EU-data) ↔ KPI-01 (juridische continuïteit) ↔ R-04 (subverwerker buiten EU) ↔ A13, A17, A18</w:t>
      </w:r>
    </w:p>
    <w:p>
      <w:pPr>
        <w:numPr>
          <w:ilvl w:val="0"/>
          <w:numId w:val="4"/>
        </w:numPr>
        <w:spacing w:lineRule="auto"/>
      </w:pPr>
      <w:r>
        <w:rPr/>
        <w:t xml:space="preserve">W-09 (Escalatieprocedure) ↔ KPI-02/03 ↔ R-07 (nacht/weekend), R-08 (MIM-volumes) ↔ A10, A19</w:t>
      </w:r>
    </w:p>
    <w:p>
      <w:pPr>
        <w:numPr>
          <w:ilvl w:val="0"/>
          <w:numId w:val="4"/>
        </w:numPr>
        <w:spacing w:lineRule="auto"/>
      </w:pPr>
      <w:r>
        <w:rPr/>
        <w:t xml:space="preserve">W-10 (BCP) ↔ KPI-01 ↔ R-01 (scopemismatch), R-08 (cloudstoringen) ↔ A07, A08</w:t>
      </w:r>
    </w:p>
    <w:p>
      <w:pPr>
        <w:numPr>
          <w:ilvl w:val="0"/>
          <w:numId w:val="4"/>
        </w:numPr>
        <w:spacing w:lineRule="auto"/>
      </w:pPr>
      <w:r>
        <w:rPr/>
        <w:t xml:space="preserve">W-11 (VOG) ↔ — ↔ R-06 (doorlooptijd screening) ↔ A14</w:t>
      </w:r>
    </w:p>
    <w:p>
      <w:pPr>
        <w:numPr>
          <w:ilvl w:val="0"/>
          <w:numId w:val="4"/>
        </w:numPr>
        <w:spacing w:lineRule="auto"/>
      </w:pPr>
      <w:r>
        <w:rPr/>
        <w:t xml:space="preserve">W-12 (Proactieve monitoring) ↔ KPI-01/04 ↔ R-05 (false positives/overload) ↔ A11, A12</w:t>
      </w:r>
    </w:p>
    <w:p>
      <w:pPr>
        <w:numPr>
          <w:ilvl w:val="0"/>
          <w:numId w:val="4"/>
        </w:numPr>
        <w:spacing w:lineRule="auto"/>
      </w:pPr>
      <w:r>
        <w:rPr/>
        <w:t xml:space="preserve">W-13 (M365 support) ↔ KPI-02/03 ↔ R-08 (feature changes) ↔ A15</w:t>
      </w:r>
    </w:p>
    <w:p>
      <w:pPr>
        <w:spacing w:lineRule="auto"/>
      </w:pPr>
      <w:r>
        <w:rPr/>
        <w:t xml:space="preserve">PDCA-borging per KPI</w:t>
      </w:r>
    </w:p>
    <w:p>
      <w:pPr>
        <w:numPr>
          <w:ilvl w:val="0"/>
          <w:numId w:val="5"/>
        </w:numPr>
        <w:spacing w:lineRule="auto"/>
      </w:pPr>
      <w:r>
        <w:rPr/>
        <w:t xml:space="preserve">KPI-01 Beschikbaarheid 99,8% Plan: A11 beleid monitoring/patch; A07 BCP. Do: 24/7 bewaking (A03), changes via ITIL (A09). Check: SLA-rapportage en root cause (A19), DR-test (A08). Act: Verbeterregister (A20), Management Review (A22).</w:t>
      </w:r>
    </w:p>
    <w:p>
      <w:pPr>
        <w:numPr>
          <w:ilvl w:val="0"/>
          <w:numId w:val="5"/>
        </w:numPr>
        <w:spacing w:lineRule="auto"/>
      </w:pPr>
      <w:r>
        <w:rPr/>
        <w:t xml:space="preserve">KPI-02 Responstijd P1 &lt;30 min Plan: Escalatie- en MIM-proces (A10), roosters (A03). Do: War room activering, eerste response in tooling (A11). Check: Maandrapport P1-respons (A19). Act: Oplossingspaden en staffing-tuning (A20, A22).</w:t>
      </w:r>
    </w:p>
    <w:p>
      <w:pPr>
        <w:numPr>
          <w:ilvl w:val="0"/>
          <w:numId w:val="5"/>
        </w:numPr>
        <w:spacing w:lineRule="auto"/>
      </w:pPr>
      <w:r>
        <w:rPr/>
        <w:t xml:space="preserve">KPI-03 Oplostijd P1 &lt;4 uur Plan: Major Incident playbooks (A10), prioriteitstelling (A09). Do: SWAT-team inzet (A15). Check: Doorlooptijd-analyse (A19). Act: Problem management en kennisbank updates (A20, A09).</w:t>
      </w:r>
    </w:p>
    <w:p>
      <w:pPr>
        <w:numPr>
          <w:ilvl w:val="0"/>
          <w:numId w:val="5"/>
        </w:numPr>
        <w:spacing w:lineRule="auto"/>
      </w:pPr>
      <w:r>
        <w:rPr/>
        <w:t xml:space="preserve">KPI-04 Patchcompliance ≥95%/14 dagen Plan: Patchbeleid en vensters (A11). Do: Geautomatiseerde uitrol (A11). Check: Compliancerapport (A12). Act: Uitzonderingen en change-optimalisatie (A20).</w:t>
      </w:r>
    </w:p>
    <w:p>
      <w:pPr>
        <w:spacing w:lineRule="auto"/>
      </w:pPr>
      <w:r>
        <w:rPr/>
        <w:t xml:space="preserve">Conformiteit KO/REQ</w:t>
      </w:r>
    </w:p>
    <w:p>
      <w:pPr>
        <w:numPr>
          <w:ilvl w:val="0"/>
          <w:numId w:val="6"/>
        </w:numPr>
        <w:spacing w:lineRule="auto"/>
      </w:pPr>
      <w:r>
        <w:rPr/>
        <w:t xml:space="preserve">KO (ISO 27001/ISO 9001/24-7): A01, A02, A03 tonen aantoonbare conformiteit.</w:t>
      </w:r>
    </w:p>
    <w:p>
      <w:pPr>
        <w:numPr>
          <w:ilvl w:val="0"/>
          <w:numId w:val="6"/>
        </w:numPr>
        <w:spacing w:lineRule="auto"/>
      </w:pPr>
      <w:r>
        <w:rPr/>
        <w:t xml:space="preserve">REQ’s W-04 t/m W-13: Gedekt via A04–A19; operationeel bevestigd via A19 (Check) en A20/A22 (Act).</w:t>
      </w:r>
    </w:p>
    <w:p>
      <w:pPr>
        <w:spacing w:lineRule="auto"/>
      </w:pPr>
      <w:r>
        <w:rPr/>
        <w:t xml:space="preserve">Risico-overzicht (samenvatting uit A06)</w:t>
      </w:r>
    </w:p>
    <w:p>
      <w:pPr>
        <w:numPr>
          <w:ilvl w:val="0"/>
          <w:numId w:val="7"/>
        </w:numPr>
        <w:spacing w:lineRule="auto"/>
      </w:pPr>
      <w:r>
        <w:rPr/>
        <w:t xml:space="preserve">R-01 Scopeconsistentie tendertitel vs ICT-inhoud: Mitigatie door schriftelijke scopebevestiging en Appendix Scope (A05, A21).</w:t>
      </w:r>
    </w:p>
    <w:p>
      <w:pPr>
        <w:numPr>
          <w:ilvl w:val="0"/>
          <w:numId w:val="7"/>
        </w:numPr>
        <w:spacing w:lineRule="auto"/>
      </w:pPr>
      <w:r>
        <w:rPr/>
        <w:t xml:space="preserve">R-02 Onvoldoende of vertraagde toegangen: Mitigatie via onboarding-checklist en pre-approved break-glass (A05, A11).</w:t>
      </w:r>
    </w:p>
    <w:p>
      <w:pPr>
        <w:numPr>
          <w:ilvl w:val="0"/>
          <w:numId w:val="7"/>
        </w:numPr>
        <w:spacing w:lineRule="auto"/>
      </w:pPr>
      <w:r>
        <w:rPr/>
        <w:t xml:space="preserve">R-03 Goedkeuringsvertragingen CAB: Mitigatie via spoedchange-proces en escalatie (A09, A10).</w:t>
      </w:r>
    </w:p>
    <w:p>
      <w:pPr>
        <w:numPr>
          <w:ilvl w:val="0"/>
          <w:numId w:val="7"/>
        </w:numPr>
        <w:spacing w:lineRule="auto"/>
      </w:pPr>
      <w:r>
        <w:rPr/>
        <w:t xml:space="preserve">R-04 Subverwerker buiten EU: Mitigatie via EU-only contractclausules en periodieke review (A13, A18).</w:t>
      </w:r>
    </w:p>
    <w:p>
      <w:pPr>
        <w:numPr>
          <w:ilvl w:val="0"/>
          <w:numId w:val="7"/>
        </w:numPr>
        <w:spacing w:lineRule="auto"/>
      </w:pPr>
      <w:r>
        <w:rPr/>
        <w:t xml:space="preserve">R-05 Patchwindow beperkingen: Mitigatie door phased rollout en business blackout alignment (A11, A12).</w:t>
      </w:r>
    </w:p>
    <w:p>
      <w:pPr>
        <w:numPr>
          <w:ilvl w:val="0"/>
          <w:numId w:val="7"/>
        </w:numPr>
        <w:spacing w:lineRule="auto"/>
      </w:pPr>
      <w:r>
        <w:rPr/>
        <w:t xml:space="preserve">R-06 VOG doorlooptijd: Mitigatie via pre-employment screening en poolbeheer (A14).</w:t>
      </w:r>
    </w:p>
    <w:p>
      <w:pPr>
        <w:numPr>
          <w:ilvl w:val="0"/>
          <w:numId w:val="7"/>
        </w:numPr>
        <w:spacing w:lineRule="auto"/>
      </w:pPr>
      <w:r>
        <w:rPr/>
        <w:t xml:space="preserve">R-07 24/7 bezetting en piekbelasting: Mitigatie via dubbele piket en cross-skilling (A03, A10).</w:t>
      </w:r>
    </w:p>
    <w:p>
      <w:pPr>
        <w:numPr>
          <w:ilvl w:val="0"/>
          <w:numId w:val="7"/>
        </w:numPr>
        <w:spacing w:lineRule="auto"/>
      </w:pPr>
      <w:r>
        <w:rPr/>
        <w:t xml:space="preserve">R-08 Grootschalig M365-incident: Mitigatie via Microsoft advisories, playbooks en communicatie (A10, A15).</w:t>
      </w:r>
    </w:p>
    <w:p>
      <w:pPr>
        <w:spacing w:lineRule="auto"/>
      </w:pPr>
      <w:r>
        <w:rPr/>
        <w:t xml:space="preserve">Opmerkingen</w:t>
      </w:r>
    </w:p>
    <w:p>
      <w:pPr>
        <w:numPr>
          <w:ilvl w:val="0"/>
          <w:numId w:val="8"/>
        </w:numPr>
        <w:spacing w:lineRule="auto"/>
      </w:pPr>
      <w:r>
        <w:rPr/>
        <w:t xml:space="preserve">Dataverwerking uitsluitend binnen EU (A13, A18). Geen data export buiten EU zonder voorafgaande schriftelijke toestemming.</w:t>
      </w:r>
    </w:p>
    <w:p>
      <w:pPr>
        <w:numPr>
          <w:ilvl w:val="0"/>
          <w:numId w:val="8"/>
        </w:numPr>
        <w:spacing w:lineRule="auto"/>
      </w:pPr>
      <w:r>
        <w:rPr/>
        <w:t xml:space="preserve">Plan-van-Aanpak, Risicodossier en KPI-overzicht zijn in lijn met EMVI-criteria Kwaliteit en Risicobeheersing.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9"/>
        </w:numPr>
        <w:spacing w:lineRule="auto"/>
      </w:pPr>
      <w:r>
        <w:rPr/>
        <w:t xml:space="preserve">Scopebevestiging door Aanbestedende Dienst i.v.m. titel “Catering- en Horecadiensten” versus ICT-scope.</w:t>
      </w:r>
    </w:p>
    <w:p>
      <w:pPr>
        <w:numPr>
          <w:ilvl w:val="0"/>
          <w:numId w:val="9"/>
        </w:numPr>
        <w:spacing w:lineRule="auto"/>
      </w:pPr>
      <w:r>
        <w:rPr/>
        <w:t xml:space="preserve">Overzicht locaties en kritieke systemen (inclusief contactpersonen en toegangsprocedures).</w:t>
      </w:r>
    </w:p>
    <w:p>
      <w:pPr>
        <w:numPr>
          <w:ilvl w:val="0"/>
          <w:numId w:val="9"/>
        </w:numPr>
        <w:spacing w:lineRule="auto"/>
      </w:pPr>
      <w:r>
        <w:rPr/>
        <w:t xml:space="preserve">Voorkeursvensters voor changes/patching per dienst.</w:t>
      </w:r>
    </w:p>
    <w:p>
      <w:pPr>
        <w:numPr>
          <w:ilvl w:val="0"/>
          <w:numId w:val="9"/>
        </w:numPr>
        <w:spacing w:lineRule="auto"/>
      </w:pPr>
      <w:r>
        <w:rPr/>
        <w:t xml:space="preserve">Escalatiecontacten opdrachtgever (24/7) en communicatierichtlijnen.</w:t>
      </w:r>
    </w:p>
    <w:p>
      <w:pPr>
        <w:numPr>
          <w:ilvl w:val="0"/>
          <w:numId w:val="9"/>
        </w:numPr>
        <w:spacing w:lineRule="auto"/>
      </w:pPr>
      <w:r>
        <w:rPr/>
        <w:t xml:space="preserve">Bevestiging EU-datalocatievoorkeur (land/regio) en model verwerkersovereenkomst van opdrachtgever (indien verplicht).</w:t>
      </w:r>
    </w:p>
    <w:p>
      <w:pPr>
        <w:numPr>
          <w:ilvl w:val="0"/>
          <w:numId w:val="9"/>
        </w:numPr>
        <w:spacing w:lineRule="auto"/>
      </w:pPr>
      <w:r>
        <w:rPr/>
        <w:t xml:space="preserve">Beveiligings- en compliance-eisen van opdrachtgever aanvullend op ISO (bijv. Baseline Informatiebeveiliging Overheid).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