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Nota van Inlichtingen — Clarificaties</w:t>
      </w:r>
    </w:p>
    <w:p>
      <w:pPr>
        <w:pStyle w:val="Heading2"/>
        <w:spacing w:lineRule="auto"/>
      </w:pPr>
      <w:r>
        <w:rPr/>
        <w:t xml:space="preserve">Digital Ease B.V. — Raamovereenkomst Catering- en Horecadiensten voor Gemeente Middenstad</w:t>
      </w:r>
    </w:p>
    <w:p>
      <w:pPr>
        <w:spacing w:lineRule="auto"/>
      </w:pPr>
      <w:r>
        <w:rPr/>
        <w:t xml:space="preserve">     08 december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NvI – Clarificatievragen (GV-IT-2026-001)</w:t>
      </w:r>
    </w:p>
    <w:p>
      <w:pPr>
        <w:numPr>
          <w:ilvl w:val="0"/>
          <w:numId w:val="1"/>
        </w:numPr>
        <w:spacing w:lineRule="auto"/>
      </w:pPr>
      <w:r>
        <w:rPr/>
        <w:t xml:space="preserve">Bevestiging scope en opdrachtgever</w:t>
      </w:r>
    </w:p>
    <w:p>
      <w:pPr>
        <w:numPr>
          <w:ilvl w:val="0"/>
          <w:numId w:val="2"/>
        </w:numPr>
        <w:spacing w:lineRule="auto"/>
      </w:pPr>
      <w:r>
        <w:rPr/>
        <w:t xml:space="preserve">Vraag (SMART): Bevestig uiterlijk 2026-01-06 of de opdracht daadwerkelijk een ICT-raamovereenkomst voor beheer/monitoring/security betreft (i.p.v. “Catering- en Horecadiensten”) en of de opdrachtgever “Gemeente Voorbeeldstad” is (titel noemt “Gemeente Middenstad”). Bevestig tevens of er percelen zijn.</w:t>
      </w:r>
    </w:p>
    <w:p>
      <w:pPr>
        <w:numPr>
          <w:ilvl w:val="0"/>
          <w:numId w:val="2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2"/>
        </w:numPr>
        <w:spacing w:lineRule="auto"/>
      </w:pPr>
      <w:r>
        <w:rPr/>
        <w:t xml:space="preserve">Impact: Onduidelijke scope leidt tot niet-passende EMVI-inzet, risico op uitsluiting of irrelevante bewijsvoering.</w:t>
      </w:r>
    </w:p>
    <w:p>
      <w:pPr>
        <w:numPr>
          <w:ilvl w:val="0"/>
          <w:numId w:val="2"/>
        </w:numPr>
        <w:spacing w:lineRule="auto"/>
      </w:pPr>
      <w:r>
        <w:rPr/>
        <w:t xml:space="preserve">Afhankelijkheden: Geldige aanbestedingsdocumenten en NvI.</w:t>
      </w:r>
    </w:p>
    <w:p>
      <w:pPr>
        <w:numPr>
          <w:ilvl w:val="0"/>
          <w:numId w:val="2"/>
        </w:numPr>
        <w:spacing w:lineRule="auto"/>
      </w:pPr>
      <w:r>
        <w:rPr/>
        <w:t xml:space="preserve">W-KPI-Risico-Bewijs: W-08 Contractering; KPI: alle; Risico R-01 Scopemismatch/ongeldige inschrijving; Bewijs: gerectificeerde aankondiging of NvI met juiste scope/naam.</w:t>
      </w:r>
    </w:p>
    <w:p>
      <w:pPr>
        <w:numPr>
          <w:ilvl w:val="0"/>
          <w:numId w:val="3"/>
        </w:numPr>
        <w:spacing w:lineRule="auto"/>
      </w:pPr>
      <w:r>
        <w:rPr/>
        <w:t xml:space="preserve">SLA-definities voor Beschikbaarheid en P1 (respons/oplostijd)</w:t>
      </w:r>
    </w:p>
    <w:p>
      <w:pPr>
        <w:numPr>
          <w:ilvl w:val="0"/>
          <w:numId w:val="4"/>
        </w:numPr>
        <w:spacing w:lineRule="auto"/>
      </w:pPr>
      <w:r>
        <w:rPr/>
        <w:t xml:space="preserve">Vraag (SMART): Leg uiterlijk 2026-01-06 vast: a) meetmethode 99,8%/maand (meetvenster, onderhouds- en overmacht-exclusies, servicegrenzen), b) definitie “kritieke systemen” (systeemlijst), c) P1-responstijd &lt;30 min en P1-oplostijd &lt;4 uur: 24x7 of kantoortijden? start/stop-tijd (klokstil bij derden?), geaccepteerde communicatiekanalen (telefoon, portal, e-mail), en acceptatie van tijdelijke workaround.</w:t>
      </w:r>
    </w:p>
    <w:p>
      <w:pPr>
        <w:numPr>
          <w:ilvl w:val="0"/>
          <w:numId w:val="4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4"/>
        </w:numPr>
        <w:spacing w:lineRule="auto"/>
      </w:pPr>
      <w:r>
        <w:rPr/>
        <w:t xml:space="preserve">Impact: Direct op haalbaarheid KPI’s en boeterisico’s; beïnvloedt bezetting en roostering 24x7.</w:t>
      </w:r>
    </w:p>
    <w:p>
      <w:pPr>
        <w:numPr>
          <w:ilvl w:val="0"/>
          <w:numId w:val="4"/>
        </w:numPr>
        <w:spacing w:lineRule="auto"/>
      </w:pPr>
      <w:r>
        <w:rPr/>
        <w:t xml:space="preserve">Afhankelijkheden: Systeemregister en huidige onderhoudsvensters opdrachtgever.</w:t>
      </w:r>
    </w:p>
    <w:p>
      <w:pPr>
        <w:numPr>
          <w:ilvl w:val="0"/>
          <w:numId w:val="4"/>
        </w:numPr>
        <w:spacing w:lineRule="auto"/>
      </w:pPr>
      <w:r>
        <w:rPr/>
        <w:t xml:space="preserve">W-KPI-Risico-Bewijs: W-06 SLA &amp; Rapportage; KPI: Beschikbaarheid 99,8%, P1 respons &lt;30m, P1 oplos &lt;4u; Risico R-02 Onvoldoende SLA-definitie/meetdiscussies; Bewijs: SLA-metrics in maandrapport, monitoring-exports, MI-rapporten, openingstijden/rooster 24x7.</w:t>
      </w:r>
    </w:p>
    <w:p>
      <w:pPr>
        <w:numPr>
          <w:ilvl w:val="0"/>
          <w:numId w:val="5"/>
        </w:numPr>
        <w:spacing w:lineRule="auto"/>
      </w:pPr>
      <w:r>
        <w:rPr/>
        <w:t xml:space="preserve">Monitoring, patchmanagement en Microsoft 365 scope en volumes</w:t>
      </w:r>
    </w:p>
    <w:p>
      <w:pPr>
        <w:numPr>
          <w:ilvl w:val="0"/>
          <w:numId w:val="6"/>
        </w:numPr>
        <w:spacing w:lineRule="auto"/>
      </w:pPr>
      <w:r>
        <w:rPr/>
        <w:t xml:space="preserve">Vraag (SMART): Geef uiterlijk 2026-01-06 aan: a) aantallen en typen assets (servers, endpoints, netwerkdevices, locaties, OS-mix, M365-licenties), b) gewenste tooling (eigen tooling toegestaan? agent deployment-rechten?), c) patchvensters en reboot-autoriteit, d) scope M365 (Exchange, SharePoint, Teams, OneDrive, Intune/Entra, Defender), e) proactieve drempelwaarden (bijv. CPU/ram/disk, endpoint-EDR alerts).</w:t>
      </w:r>
    </w:p>
    <w:p>
      <w:pPr>
        <w:numPr>
          <w:ilvl w:val="0"/>
          <w:numId w:val="6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6"/>
        </w:numPr>
        <w:spacing w:lineRule="auto"/>
      </w:pPr>
      <w:r>
        <w:rPr/>
        <w:t xml:space="preserve">Impact: Dimensionering tooling, capaciteit, change-vensters en KPI-borging.</w:t>
      </w:r>
    </w:p>
    <w:p>
      <w:pPr>
        <w:numPr>
          <w:ilvl w:val="0"/>
          <w:numId w:val="6"/>
        </w:numPr>
        <w:spacing w:lineRule="auto"/>
      </w:pPr>
      <w:r>
        <w:rPr/>
        <w:t xml:space="preserve">Afhankelijkheden: CMDB/assetlijst, change-policy en M365-tenantspecificaties.</w:t>
      </w:r>
    </w:p>
    <w:p>
      <w:pPr>
        <w:numPr>
          <w:ilvl w:val="0"/>
          <w:numId w:val="6"/>
        </w:numPr>
        <w:spacing w:lineRule="auto"/>
      </w:pPr>
      <w:r>
        <w:rPr/>
        <w:t xml:space="preserve">W-KPI-Risico-Bewijs: W-02 Monitoring &amp; Patch; W-03 M365 Beheer; KPI: Beschikbaarheid 99,8%; Risico R-03 Onvoldoende zicht op volumes/vensters → patchachterstand; Bewijs: CMDB-extract, agent-deploymentplan, patch-compliance rapportages, Intune compliance reports.</w:t>
      </w:r>
    </w:p>
    <w:p>
      <w:pPr>
        <w:numPr>
          <w:ilvl w:val="0"/>
          <w:numId w:val="7"/>
        </w:numPr>
        <w:spacing w:lineRule="auto"/>
      </w:pPr>
      <w:r>
        <w:rPr/>
        <w:t xml:space="preserve">Dataresidency, BIO/ENSIA en verwerkersafspraken</w:t>
      </w:r>
    </w:p>
    <w:p>
      <w:pPr>
        <w:numPr>
          <w:ilvl w:val="0"/>
          <w:numId w:val="8"/>
        </w:numPr>
        <w:spacing w:lineRule="auto"/>
      </w:pPr>
      <w:r>
        <w:rPr/>
        <w:t xml:space="preserve">Vraag (SMART): Bevestig uiterlijk 2026-01-06: a) vereiste normen (BIO 2024 van toepassing naast ISO 27001/NEN 7510?), b) verplichte ENSIA-rapportage, c) EU-only scope incl. log/SIEM-gegevens en back-ups (Azure/M365 EU Data Boundary acceptabel?), d) eisen aan subverwerkers en standaard DPA/ verwerkersovereenkomst van gemeente.</w:t>
      </w:r>
    </w:p>
    <w:p>
      <w:pPr>
        <w:numPr>
          <w:ilvl w:val="0"/>
          <w:numId w:val="8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8"/>
        </w:numPr>
        <w:spacing w:lineRule="auto"/>
      </w:pPr>
      <w:r>
        <w:rPr/>
        <w:t xml:space="preserve">Impact: Beperkt cloudregio’s, SIEM-keuze, logging-architectuur en contractketen.</w:t>
      </w:r>
    </w:p>
    <w:p>
      <w:pPr>
        <w:numPr>
          <w:ilvl w:val="0"/>
          <w:numId w:val="8"/>
        </w:numPr>
        <w:spacing w:lineRule="auto"/>
      </w:pPr>
      <w:r>
        <w:rPr/>
        <w:t xml:space="preserve">Afhankelijkheden: Juridische kaders gemeente, huidige DPA/AVG-bepalingen.</w:t>
      </w:r>
    </w:p>
    <w:p>
      <w:pPr>
        <w:numPr>
          <w:ilvl w:val="0"/>
          <w:numId w:val="8"/>
        </w:numPr>
        <w:spacing w:lineRule="auto"/>
      </w:pPr>
      <w:r>
        <w:rPr/>
        <w:t xml:space="preserve">W-KPI-Risico-Bewijs: W-05 Security &amp; Dataresidency; KPI: Beschikbaarheid 99,8% (architectuurkeuzes), P1 KPI’s (logging); Risico R-04 Niet-conforme datalokatie/AVG; Bewijs: verwerkersovereenkomst, subverwerkerslijst, architectuurdiagrammen met regio’s, BIO-conformiteitsmatrix.</w:t>
      </w:r>
    </w:p>
    <w:p>
      <w:pPr>
        <w:numPr>
          <w:ilvl w:val="0"/>
          <w:numId w:val="9"/>
        </w:numPr>
        <w:spacing w:lineRule="auto"/>
      </w:pPr>
      <w:r>
        <w:rPr/>
        <w:t xml:space="preserve">Continuïteit (BCP/DR), RTO/RPO en testfrequentie</w:t>
      </w:r>
    </w:p>
    <w:p>
      <w:pPr>
        <w:numPr>
          <w:ilvl w:val="0"/>
          <w:numId w:val="10"/>
        </w:numPr>
        <w:spacing w:lineRule="auto"/>
      </w:pPr>
      <w:r>
        <w:rPr/>
        <w:t xml:space="preserve">Vraag (SMART): Leg uiterlijk 2026-01-06 vast: a) doel-RTO/RPO per kritisch systeem, b) gewenste DR-strategie (actief/actief of actief/passief), c) testfrequentie (bijv. 1×/jaar volledige DR-test), d) acceptatiecriteria en rolverdeling tijdens oefeningen en echte uitwijk.</w:t>
      </w:r>
    </w:p>
    <w:p>
      <w:pPr>
        <w:numPr>
          <w:ilvl w:val="0"/>
          <w:numId w:val="10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10"/>
        </w:numPr>
        <w:spacing w:lineRule="auto"/>
      </w:pPr>
      <w:r>
        <w:rPr/>
        <w:t xml:space="preserve">Impact: Architectuurkeuze, kosten, testplanning en KPI-herstelmogelijkheden.</w:t>
      </w:r>
    </w:p>
    <w:p>
      <w:pPr>
        <w:numPr>
          <w:ilvl w:val="0"/>
          <w:numId w:val="10"/>
        </w:numPr>
        <w:spacing w:lineRule="auto"/>
      </w:pPr>
      <w:r>
        <w:rPr/>
        <w:t xml:space="preserve">Afhankelijkheden: Kritieke processen en systeemclassificatie opdrachtgever.</w:t>
      </w:r>
    </w:p>
    <w:p>
      <w:pPr>
        <w:numPr>
          <w:ilvl w:val="0"/>
          <w:numId w:val="10"/>
        </w:numPr>
        <w:spacing w:lineRule="auto"/>
      </w:pPr>
      <w:r>
        <w:rPr/>
        <w:t xml:space="preserve">W-KPI-Risico-Bewijs: W-04 Continuïteit &amp; BCP; KPI: Beschikbaarheid 99,8%, P1 oplos &lt;4u; Risico R-05 Onvoldoende herstelcapaciteit; Bewijs: BCP/DR-plan, testrapporten, oefenlogs en verbeteracties (PDCA).</w:t>
      </w:r>
    </w:p>
    <w:p>
      <w:pPr>
        <w:numPr>
          <w:ilvl w:val="0"/>
          <w:numId w:val="11"/>
        </w:numPr>
        <w:spacing w:lineRule="auto"/>
      </w:pPr>
      <w:r>
        <w:rPr/>
        <w:t xml:space="preserve">24/7 bereikbaarheidsdienst en on-site verwachtingen</w:t>
      </w:r>
    </w:p>
    <w:p>
      <w:pPr>
        <w:numPr>
          <w:ilvl w:val="0"/>
          <w:numId w:val="12"/>
        </w:numPr>
        <w:spacing w:lineRule="auto"/>
      </w:pPr>
      <w:r>
        <w:rPr/>
        <w:t xml:space="preserve">Vraag (SMART): Bevestig uiterlijk 2026-01-06: a) definitie 24/7 bereikbaar (alleen aannemen vs. actief handelen), b) on-site responstijd-eisen (indien van toepassing) en locaties, c) voertaal NL/EN, d) maximum escalatietijd naar L2/L3 in de nacht/weekenden.</w:t>
      </w:r>
    </w:p>
    <w:p>
      <w:pPr>
        <w:numPr>
          <w:ilvl w:val="0"/>
          <w:numId w:val="12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12"/>
        </w:numPr>
        <w:spacing w:lineRule="auto"/>
      </w:pPr>
      <w:r>
        <w:rPr/>
        <w:t xml:space="preserve">Impact: Bezettingsplanning, stand-by regeling, reistijd en kosten.</w:t>
      </w:r>
    </w:p>
    <w:p>
      <w:pPr>
        <w:numPr>
          <w:ilvl w:val="0"/>
          <w:numId w:val="12"/>
        </w:numPr>
        <w:spacing w:lineRule="auto"/>
      </w:pPr>
      <w:r>
        <w:rPr/>
        <w:t xml:space="preserve">Afhankelijkheden: Locatielijst, toegang/veiligheid, contactprotocollen.</w:t>
      </w:r>
    </w:p>
    <w:p>
      <w:pPr>
        <w:numPr>
          <w:ilvl w:val="0"/>
          <w:numId w:val="12"/>
        </w:numPr>
        <w:spacing w:lineRule="auto"/>
      </w:pPr>
      <w:r>
        <w:rPr/>
        <w:t xml:space="preserve">W-KPI-Risico-Bewijs: W-01 Servicedesk &amp; 24/7; KPI: P1 respons/oplostijd; Risico R-06 Onvoldoende 24/7 dekking; Bewijs: roosters, piketregeling, on-call SLA, bereikbaarheidsrapportages.</w:t>
      </w:r>
    </w:p>
    <w:p>
      <w:pPr>
        <w:numPr>
          <w:ilvl w:val="0"/>
          <w:numId w:val="13"/>
        </w:numPr>
        <w:spacing w:lineRule="auto"/>
      </w:pPr>
      <w:r>
        <w:rPr/>
        <w:t xml:space="preserve">Escalatie, CAB en governance (PDCA)</w:t>
      </w:r>
    </w:p>
    <w:p>
      <w:pPr>
        <w:numPr>
          <w:ilvl w:val="0"/>
          <w:numId w:val="14"/>
        </w:numPr>
        <w:spacing w:lineRule="auto"/>
      </w:pPr>
      <w:r>
        <w:rPr/>
        <w:t xml:space="preserve">Vraag (SMART): Stel uiterlijk 2026-01-06 vast: a) escalatiematrix met responstijden per niveau, b) CAB-cadans (wekelijks/2-wekelijks), c) maandelijkse SLA-rapportage-indeling, d) Major Incident Review-proces en termijnen voor verbetermaatregelen (bijv. &lt;10 werkdagen).</w:t>
      </w:r>
    </w:p>
    <w:p>
      <w:pPr>
        <w:numPr>
          <w:ilvl w:val="0"/>
          <w:numId w:val="14"/>
        </w:numPr>
        <w:spacing w:lineRule="auto"/>
      </w:pPr>
      <w:r>
        <w:rPr/>
        <w:t xml:space="preserve">Prioriteit: Middel</w:t>
      </w:r>
    </w:p>
    <w:p>
      <w:pPr>
        <w:numPr>
          <w:ilvl w:val="0"/>
          <w:numId w:val="14"/>
        </w:numPr>
        <w:spacing w:lineRule="auto"/>
      </w:pPr>
      <w:r>
        <w:rPr/>
        <w:t xml:space="preserve">Impact: Snellere besluitvorming, minder herhaalfouten, voorspelbare changes.</w:t>
      </w:r>
    </w:p>
    <w:p>
      <w:pPr>
        <w:numPr>
          <w:ilvl w:val="0"/>
          <w:numId w:val="14"/>
        </w:numPr>
        <w:spacing w:lineRule="auto"/>
      </w:pPr>
      <w:r>
        <w:rPr/>
        <w:t xml:space="preserve">Afhankelijkheden: Beschikbaarheid stakeholders en governancekader.</w:t>
      </w:r>
    </w:p>
    <w:p>
      <w:pPr>
        <w:numPr>
          <w:ilvl w:val="0"/>
          <w:numId w:val="14"/>
        </w:numPr>
        <w:spacing w:lineRule="auto"/>
      </w:pPr>
      <w:r>
        <w:rPr/>
        <w:t xml:space="preserve">W-KPI-Risico-Bewijs: W-09 Escalatie &amp; Governance; KPI: alle; Risico R-07 Trage besluitvorming → KPI-missers; Bewijs: RACI, CAB-notulen, MIR-rapporten met actie-tracking.</w:t>
      </w:r>
    </w:p>
    <w:p>
      <w:pPr>
        <w:numPr>
          <w:ilvl w:val="0"/>
          <w:numId w:val="15"/>
        </w:numPr>
        <w:spacing w:lineRule="auto"/>
      </w:pPr>
      <w:r>
        <w:rPr/>
        <w:t xml:space="preserve">Raamovereenkomstmodaliteiten: duur, waarde, call-offs en indexatie</w:t>
      </w:r>
    </w:p>
    <w:p>
      <w:pPr>
        <w:numPr>
          <w:ilvl w:val="0"/>
          <w:numId w:val="16"/>
        </w:numPr>
        <w:spacing w:lineRule="auto"/>
      </w:pPr>
      <w:r>
        <w:rPr/>
        <w:t xml:space="preserve">Vraag (SMART): Bevestig uiterlijk 2026-01-06: a) looptijd (bijv. 2+2 jaar) en maximale raamwaarde, b) afroepmechanisme (Nadere Overeenkomsten, min. afname?), c) indexatiemethodiek (CPI/NEA/ICT-index) en frequentie, d) exit/overdrachteisen en notice-termijnen, e) beoogde startdatum (execution window ontbreekt).</w:t>
      </w:r>
    </w:p>
    <w:p>
      <w:pPr>
        <w:numPr>
          <w:ilvl w:val="0"/>
          <w:numId w:val="16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16"/>
        </w:numPr>
        <w:spacing w:lineRule="auto"/>
      </w:pPr>
      <w:r>
        <w:rPr/>
        <w:t xml:space="preserve">Impact: Capaciteitsreservering, prijsstelling, exit-risico.</w:t>
      </w:r>
    </w:p>
    <w:p>
      <w:pPr>
        <w:numPr>
          <w:ilvl w:val="0"/>
          <w:numId w:val="16"/>
        </w:numPr>
        <w:spacing w:lineRule="auto"/>
      </w:pPr>
      <w:r>
        <w:rPr/>
        <w:t xml:space="preserve">Afhankelijkheden: Inkoopbeleid gemeente en planning.</w:t>
      </w:r>
    </w:p>
    <w:p>
      <w:pPr>
        <w:numPr>
          <w:ilvl w:val="0"/>
          <w:numId w:val="16"/>
        </w:numPr>
        <w:spacing w:lineRule="auto"/>
      </w:pPr>
      <w:r>
        <w:rPr/>
        <w:t xml:space="preserve">W-KPI-Risico-Bewijs: W-08 Contractering; KPI: continuïteit van dienstverlening; Risico R-08 Onduidelijke afroep/waarde → leverings- of budgetrisico; Bewijs: definitieve raamovereenkomst, indexatieclausule, exit-checklist.</w:t>
      </w:r>
    </w:p>
    <w:p>
      <w:pPr>
        <w:numPr>
          <w:ilvl w:val="0"/>
          <w:numId w:val="17"/>
        </w:numPr>
        <w:spacing w:lineRule="auto"/>
      </w:pPr>
      <w:r>
        <w:rPr/>
        <w:t xml:space="preserve">EMVI-verwachtingen en bewijsvoering per criterium</w:t>
      </w:r>
    </w:p>
    <w:p>
      <w:pPr>
        <w:numPr>
          <w:ilvl w:val="0"/>
          <w:numId w:val="18"/>
        </w:numPr>
        <w:spacing w:lineRule="auto"/>
      </w:pPr>
      <w:r>
        <w:rPr/>
        <w:t xml:space="preserve">Vraag (SMART): Licht uiterlijk 2026-01-06 toe: a) nadere uitwerking subcriteria voor Kwaliteit (40%), Duurzaamheid (20%), Risicobeheersing (20%) en Prijs (20%), b) pagina- of woordlimieten per plan (PoA/Risico/KPI-overzicht; max. 6 pagina’s totaal of per onderdeel?), c) gewenste bewijsstukken (use cases, dashboards, referenties) en duurzaamheidskaders (bijv. CO2-Prestatieladder, SBTi toepasbaar op ICT).</w:t>
      </w:r>
    </w:p>
    <w:p>
      <w:pPr>
        <w:numPr>
          <w:ilvl w:val="0"/>
          <w:numId w:val="18"/>
        </w:numPr>
        <w:spacing w:lineRule="auto"/>
      </w:pPr>
      <w:r>
        <w:rPr/>
        <w:t xml:space="preserve">Prioriteit: Middel</w:t>
      </w:r>
    </w:p>
    <w:p>
      <w:pPr>
        <w:numPr>
          <w:ilvl w:val="0"/>
          <w:numId w:val="18"/>
        </w:numPr>
        <w:spacing w:lineRule="auto"/>
      </w:pPr>
      <w:r>
        <w:rPr/>
        <w:t xml:space="preserve">Impact: Gericht schrijven en optimale scoremaximalisatie.</w:t>
      </w:r>
    </w:p>
    <w:p>
      <w:pPr>
        <w:numPr>
          <w:ilvl w:val="0"/>
          <w:numId w:val="18"/>
        </w:numPr>
        <w:spacing w:lineRule="auto"/>
      </w:pPr>
      <w:r>
        <w:rPr/>
        <w:t xml:space="preserve">Afhankelijkheden: EMVI-beoordelingsrichtsnoeren.</w:t>
      </w:r>
    </w:p>
    <w:p>
      <w:pPr>
        <w:numPr>
          <w:ilvl w:val="0"/>
          <w:numId w:val="18"/>
        </w:numPr>
        <w:spacing w:lineRule="auto"/>
      </w:pPr>
      <w:r>
        <w:rPr/>
        <w:t xml:space="preserve">W-KPI-Risico-Bewijs: W-06 SLA &amp; Rapportage; KPI: n.v.t. (beoordeling); Risico R-09 Suboptimale EMVI-invulling; Bewijs: gevraagde annexen (cases, KPI-dashboards, certificaten).</w:t>
      </w:r>
    </w:p>
    <w:p>
      <w:pPr>
        <w:numPr>
          <w:ilvl w:val="0"/>
          <w:numId w:val="19"/>
        </w:numPr>
        <w:spacing w:lineRule="auto"/>
      </w:pPr>
      <w:r>
        <w:rPr/>
        <w:t xml:space="preserve">VOG en screeningseisen voor personeel en partners</w:t>
      </w:r>
    </w:p>
    <w:p>
      <w:pPr>
        <w:numPr>
          <w:ilvl w:val="0"/>
          <w:numId w:val="20"/>
        </w:numPr>
        <w:spacing w:lineRule="auto"/>
      </w:pPr>
      <w:r>
        <w:rPr/>
        <w:t xml:space="preserve">Vraag (SMART): Specificeer uiterlijk 2026-01-06: a) voor welke functies VOG verplicht is (L1/L2/L3/field engineers/consultants), b) acceptabele VOG-termijn (bijv. niet ouder dan 3 maanden), c) toepassing op onderaannemers/nearshore, d) aanvullende screenings (bijv. PEP/sancties), e) toegangsprocedures gemeentelijke locaties en datacenters.</w:t>
      </w:r>
    </w:p>
    <w:p>
      <w:pPr>
        <w:numPr>
          <w:ilvl w:val="0"/>
          <w:numId w:val="20"/>
        </w:numPr>
        <w:spacing w:lineRule="auto"/>
      </w:pPr>
      <w:r>
        <w:rPr/>
        <w:t xml:space="preserve">Prioriteit: Middel</w:t>
      </w:r>
    </w:p>
    <w:p>
      <w:pPr>
        <w:numPr>
          <w:ilvl w:val="0"/>
          <w:numId w:val="20"/>
        </w:numPr>
        <w:spacing w:lineRule="auto"/>
      </w:pPr>
      <w:r>
        <w:rPr/>
        <w:t xml:space="preserve">Impact: Resourceplanning, lead times en inzetbaarheid 24/7.</w:t>
      </w:r>
    </w:p>
    <w:p>
      <w:pPr>
        <w:numPr>
          <w:ilvl w:val="0"/>
          <w:numId w:val="20"/>
        </w:numPr>
        <w:spacing w:lineRule="auto"/>
      </w:pPr>
      <w:r>
        <w:rPr/>
        <w:t xml:space="preserve">Afhankelijkheden: HR- en securitybeleid gemeente.</w:t>
      </w:r>
    </w:p>
    <w:p>
      <w:pPr>
        <w:numPr>
          <w:ilvl w:val="0"/>
          <w:numId w:val="20"/>
        </w:numPr>
        <w:spacing w:lineRule="auto"/>
      </w:pPr>
      <w:r>
        <w:rPr/>
        <w:t xml:space="preserve">W-KPI-Risico-Bewijs: W-10 Compliance &amp; Screening; KPI: P1-respons/oplostijd (personeelsbeschikbaarheid); Risico R-10 Niet inzetbaar personeel wegens vertraging VOG; Bewijs: screeningsbeleid, VOG-procesbeschrijving en registers (geanonimiseerd).</w:t>
      </w:r>
    </w:p>
    <w:p>
      <w:pPr>
        <w:spacing w:lineRule="auto"/>
      </w:pPr>
      <w:r>
        <w:rPr/>
        <w:t xml:space="preserve">PDCA-borging (samenvattend)</w:t>
      </w:r>
    </w:p>
    <w:p>
      <w:pPr>
        <w:numPr>
          <w:ilvl w:val="0"/>
          <w:numId w:val="21"/>
        </w:numPr>
        <w:spacing w:lineRule="auto"/>
      </w:pPr>
      <w:r>
        <w:rPr/>
        <w:t xml:space="preserve">Plan: SLA-definities, scope, contractmodaliteiten en governance vooraf vastleggen (vragen 1–2, 7–9).</w:t>
      </w:r>
    </w:p>
    <w:p>
      <w:pPr>
        <w:numPr>
          <w:ilvl w:val="0"/>
          <w:numId w:val="21"/>
        </w:numPr>
        <w:spacing w:lineRule="auto"/>
      </w:pPr>
      <w:r>
        <w:rPr/>
        <w:t xml:space="preserve">Do: 24/7 operatie, monitoring/patching, M365-beheer, continuïteit uitvoeren (vragen 3, 5–6, 10).</w:t>
      </w:r>
    </w:p>
    <w:p>
      <w:pPr>
        <w:numPr>
          <w:ilvl w:val="0"/>
          <w:numId w:val="21"/>
        </w:numPr>
        <w:spacing w:lineRule="auto"/>
      </w:pPr>
      <w:r>
        <w:rPr/>
        <w:t xml:space="preserve">Check: Maandelijkse SLA-rapportages, MIR’s, compliance-audits BIO/ENSIA (vragen 2, 4, 7).</w:t>
      </w:r>
    </w:p>
    <w:p>
      <w:pPr>
        <w:numPr>
          <w:ilvl w:val="0"/>
          <w:numId w:val="21"/>
        </w:numPr>
        <w:spacing w:lineRule="auto"/>
      </w:pPr>
      <w:r>
        <w:rPr/>
        <w:t xml:space="preserve">Act: CAB/MIR-verbeteracties met termijnen en tracking tot closure (vraag 7).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22"/>
        </w:numPr>
        <w:spacing w:lineRule="auto"/>
      </w:pPr>
      <w:r>
        <w:rPr/>
        <w:t xml:space="preserve">Definitieve scope/rectificatie titel en naam opdrachtgever; percelen ja/nee.</w:t>
      </w:r>
    </w:p>
    <w:p>
      <w:pPr>
        <w:numPr>
          <w:ilvl w:val="0"/>
          <w:numId w:val="22"/>
        </w:numPr>
        <w:spacing w:lineRule="auto"/>
      </w:pPr>
      <w:r>
        <w:rPr/>
        <w:t xml:space="preserve">Uitgewerkte SLA-definities (availability meetmethode, P1-respons/oplostijd, 24x7, klok-stopregels, kanalen).</w:t>
      </w:r>
    </w:p>
    <w:p>
      <w:pPr>
        <w:numPr>
          <w:ilvl w:val="0"/>
          <w:numId w:val="22"/>
        </w:numPr>
        <w:spacing w:lineRule="auto"/>
      </w:pPr>
      <w:r>
        <w:rPr/>
        <w:t xml:space="preserve">CMDB/asset- en volumelijst; gewenste toolingbeleid; patch/reboot-vensters; M365-scope.</w:t>
      </w:r>
    </w:p>
    <w:p>
      <w:pPr>
        <w:numPr>
          <w:ilvl w:val="0"/>
          <w:numId w:val="22"/>
        </w:numPr>
        <w:spacing w:lineRule="auto"/>
      </w:pPr>
      <w:r>
        <w:rPr/>
        <w:t xml:space="preserve">Dataresidency/AVG-kaders (BIO/ENSIA van toepassing, DPA, subverwerkersbeleid, EU Data Boundary).</w:t>
      </w:r>
    </w:p>
    <w:p>
      <w:pPr>
        <w:numPr>
          <w:ilvl w:val="0"/>
          <w:numId w:val="22"/>
        </w:numPr>
        <w:spacing w:lineRule="auto"/>
      </w:pPr>
      <w:r>
        <w:rPr/>
        <w:t xml:space="preserve">BCP/DR-eisen (RTO/RPO per systeem, DR-strategie, testfrequentie en -acceptatie).</w:t>
      </w:r>
    </w:p>
    <w:p>
      <w:pPr>
        <w:numPr>
          <w:ilvl w:val="0"/>
          <w:numId w:val="22"/>
        </w:numPr>
        <w:spacing w:lineRule="auto"/>
      </w:pPr>
      <w:r>
        <w:rPr/>
        <w:t xml:space="preserve">24/7 bereikbaarheids- en on-site eisen (locaties, taal, L2/L3-escalaties).</w:t>
      </w:r>
    </w:p>
    <w:p>
      <w:pPr>
        <w:numPr>
          <w:ilvl w:val="0"/>
          <w:numId w:val="22"/>
        </w:numPr>
        <w:spacing w:lineRule="auto"/>
      </w:pPr>
      <w:r>
        <w:rPr/>
        <w:t xml:space="preserve">Governancekader (escalatiematrix, CAB-cadans, MIR-termijnen, rapportageformat).</w:t>
      </w:r>
    </w:p>
    <w:p>
      <w:pPr>
        <w:numPr>
          <w:ilvl w:val="0"/>
          <w:numId w:val="22"/>
        </w:numPr>
        <w:spacing w:lineRule="auto"/>
      </w:pPr>
      <w:r>
        <w:rPr/>
        <w:t xml:space="preserve">Raamovereenkomstdetails (looptijd, maximale waarde, afroepmechanisme, indexatie, exit, startdatum).</w:t>
      </w:r>
    </w:p>
    <w:p>
      <w:pPr>
        <w:numPr>
          <w:ilvl w:val="0"/>
          <w:numId w:val="22"/>
        </w:numPr>
        <w:spacing w:lineRule="auto"/>
      </w:pPr>
      <w:r>
        <w:rPr/>
        <w:t xml:space="preserve">EMVI-subcriteria, limieten per document, gevraagde bewijsvormen en duurzaamheidskaders.</w:t>
      </w:r>
    </w:p>
    <w:p>
      <w:pPr>
        <w:numPr>
          <w:ilvl w:val="0"/>
          <w:numId w:val="22"/>
        </w:numPr>
        <w:spacing w:lineRule="auto"/>
      </w:pPr>
      <w:r>
        <w:rPr/>
        <w:t xml:space="preserve">VOG/screeningseisen voor medewerkers en onderaannemers, toegangsprocedures.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van Inlichtingen — Clarificaties</dc:title>
  <dc:subject/>
  <dc:creator>html-to-docx</dc:creator>
  <cp:keywords>html-to-docx</cp:keywords>
  <dc:description/>
  <cp:lastModifiedBy>html-to-docx</cp:lastModifiedBy>
  <cp:revision>1</cp:revision>
  <dcterms:created xsi:type="dcterms:W3CDTF">2025-12-08T05:33:59.376Z</dcterms:created>
  <dcterms:modified xsi:type="dcterms:W3CDTF">2025-12-08T05:33:59.376Z</dcterms:modified>
</cp:coreProperties>
</file>