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EMVI / Plan van Aanpak</w:t>
      </w:r>
    </w:p>
    <w:p>
      <w:pPr>
        <w:pStyle w:val="Heading2"/>
        <w:spacing w:lineRule="auto"/>
      </w:pPr>
      <w:r>
        <w:rPr/>
        <w:t xml:space="preserve">Digital Ease B.V. — Raamovereenkomst Catering- en Horecadiensten voor Gemeente Middenstad</w:t>
      </w:r>
    </w:p>
    <w:p>
      <w:pPr>
        <w:spacing w:lineRule="auto"/>
      </w:pPr>
      <w:r>
        <w:rPr/>
        <w:t xml:space="preserve">     08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EMVI / Plan van Aanpak — Raamovereenkomst ICT-beheer en -beveiliging (referentie GV-IT-2026-001), Gemeente Voorbeeldstad</w:t>
      </w:r>
    </w:p>
    <w:p>
      <w:pPr>
        <w:numPr>
          <w:ilvl w:val="0"/>
          <w:numId w:val="1"/>
        </w:numPr>
        <w:spacing w:lineRule="auto"/>
      </w:pPr>
      <w:r>
        <w:rPr/>
        <w:t xml:space="preserve">Managementsamenvatting Doel: stabiele, veilige en duurzame ICT-dienstverlening voor Gemeente Voorbeeldstad met aantoonbaar hogere beschikbaarheid en kortere incidentafhandeling dan de minimumeisen, conform EMVI-criteria Kwaliteit (40%), Duurzaamheid (20%), Risicobeheersing (20%) en Prijs (20%).</w:t>
      </w:r>
    </w:p>
    <w:p>
      <w:pPr>
        <w:spacing w:lineRule="auto"/>
      </w:pPr>
      <w:r>
        <w:rPr/>
        <w:t xml:space="preserve">Onze kernbeloften (SMART):</w:t>
      </w:r>
    </w:p>
    <w:p>
      <w:pPr>
        <w:numPr>
          <w:ilvl w:val="0"/>
          <w:numId w:val="2"/>
        </w:numPr>
        <w:spacing w:lineRule="auto"/>
      </w:pPr>
      <w:r>
        <w:rPr/>
        <w:t xml:space="preserve">Beschikbaarheid kritieke systemen: 99,90% per kalendermaand (≥99,8% vereist) gemeten per dienst en per site, met service credits bij onderprestatie. KPI K-01, W-01, Risico R-01; bewijs E-02/E-09.</w:t>
      </w:r>
    </w:p>
    <w:p>
      <w:pPr>
        <w:numPr>
          <w:ilvl w:val="0"/>
          <w:numId w:val="2"/>
        </w:numPr>
        <w:spacing w:lineRule="auto"/>
      </w:pPr>
      <w:r>
        <w:rPr/>
        <w:t xml:space="preserve">Responstijd P1: ≤15 minuten, 24×7×365, 99% van de meldingen; oplostijd P1: ≤2 uur in 95% van de gevallen (eis ≤4 uur). KPI K-02/K-03, W-02/W-03, Risico R-02; bewijs E-03/E-09.</w:t>
      </w:r>
    </w:p>
    <w:p>
      <w:pPr>
        <w:numPr>
          <w:ilvl w:val="0"/>
          <w:numId w:val="2"/>
        </w:numPr>
        <w:spacing w:lineRule="auto"/>
      </w:pPr>
      <w:r>
        <w:rPr/>
        <w:t xml:space="preserve">Monitoring &amp; patchmanagement: 100% van kritieke assets onder 24/7 monitoring; kritieke beveiligingsupdates binnen 48 uur, hoog binnen 7 dagen, overig binnen 21 dagen. KPI K-04/K-05, W-04, R-03; bewijs E-02/E-09.</w:t>
      </w:r>
    </w:p>
    <w:p>
      <w:pPr>
        <w:numPr>
          <w:ilvl w:val="0"/>
          <w:numId w:val="2"/>
        </w:numPr>
        <w:spacing w:lineRule="auto"/>
      </w:pPr>
      <w:r>
        <w:rPr/>
        <w:t xml:space="preserve">EU-only dataverwerking: 100% data, back-ups en logs binnen EU-regio’s (Azure West/North Europe, M365 EU Data Boundary). KPI K-06, W-05, R-04; bewijs E-07/E-10.</w:t>
      </w:r>
    </w:p>
    <w:p>
      <w:pPr>
        <w:numPr>
          <w:ilvl w:val="0"/>
          <w:numId w:val="2"/>
        </w:numPr>
        <w:spacing w:lineRule="auto"/>
      </w:pPr>
      <w:r>
        <w:rPr/>
        <w:t xml:space="preserve">ITIL-processen: Incident, Problem, Change conform ITIL v4, met maandelijkse PDCA-review en kwartaal-QBR. KPI K-07, W-06, R-05; bewijs E-09.</w:t>
      </w:r>
    </w:p>
    <w:p>
      <w:pPr>
        <w:numPr>
          <w:ilvl w:val="0"/>
          <w:numId w:val="2"/>
        </w:numPr>
        <w:spacing w:lineRule="auto"/>
      </w:pPr>
      <w:r>
        <w:rPr/>
        <w:t xml:space="preserve">Continuïteit: geteste BCP/DR met RTO ≤4 uur en RPO ≤1 uur voor kritieke diensten; jaarlijkse test + halfjaarlijkse tabletop. KPI K-08, W-07, R-06; bewijs E-05/E-09.</w:t>
      </w:r>
    </w:p>
    <w:p>
      <w:pPr>
        <w:numPr>
          <w:ilvl w:val="0"/>
          <w:numId w:val="2"/>
        </w:numPr>
        <w:spacing w:lineRule="auto"/>
      </w:pPr>
      <w:r>
        <w:rPr/>
        <w:t xml:space="preserve">Security: 24/7 detectie en respons via SecureOps NL (SOC), MTTD ≤15 min en MTTR ≤120 min voor high alerts. KPI K-09/K-10, W-08, R-07; bewijs E-03/E-09.</w:t>
      </w:r>
    </w:p>
    <w:p>
      <w:pPr>
        <w:numPr>
          <w:ilvl w:val="0"/>
          <w:numId w:val="2"/>
        </w:numPr>
        <w:spacing w:lineRule="auto"/>
      </w:pPr>
      <w:r>
        <w:rPr/>
        <w:t xml:space="preserve">M365 beheer en adoptie support: incidentoplossing binnen SLO’s; baselines (CIS/Microsoft) binnen 90 dagen geïmplementeerd. KPI K-11, W-09, R-08; bewijs E-09.</w:t>
      </w:r>
    </w:p>
    <w:p>
      <w:pPr>
        <w:numPr>
          <w:ilvl w:val="0"/>
          <w:numId w:val="2"/>
        </w:numPr>
        <w:spacing w:lineRule="auto"/>
      </w:pPr>
      <w:r>
        <w:rPr/>
        <w:t xml:space="preserve">Personeel &amp; integriteit: VOG op verzoek binnen 5 werkdagen aangeleverd; 100% medewerkers met security awareness- en privacytraining jaarlijks. KPI K-12, W-10, R-09; bewijs E-06/E-08.</w:t>
      </w:r>
    </w:p>
    <w:p>
      <w:pPr>
        <w:numPr>
          <w:ilvl w:val="0"/>
          <w:numId w:val="2"/>
        </w:numPr>
        <w:spacing w:lineRule="auto"/>
      </w:pPr>
      <w:r>
        <w:rPr/>
        <w:t xml:space="preserve">Duurzaamheid: 92% remote-resolutie, 40% minder autokilometers jaar-op-jaar, 100% EU-datacenters op hernieuwbare stroom, 100% e-facturatie. KPI K-13–K-15, W-11–W-13, R-10; bewijs E-09.</w:t>
      </w:r>
    </w:p>
    <w:p>
      <w:pPr>
        <w:spacing w:lineRule="auto"/>
      </w:pPr>
      <w:r>
        <w:rPr/>
        <w:t xml:space="preserve">Knock-outs geborgd: ISO 27001 en ISO 9001 aanwezig; 24/7 bereikbaarheidsdienst ingericht. Extra: NEN 7510, Microsoft Solutions Partner – Modern Work, Fortinet NSE4.</w:t>
      </w:r>
    </w:p>
    <w:p>
      <w:pPr>
        <w:numPr>
          <w:ilvl w:val="0"/>
          <w:numId w:val="3"/>
        </w:numPr>
        <w:spacing w:lineRule="auto"/>
      </w:pPr>
      <w:r>
        <w:rPr/>
        <w:t xml:space="preserve">Begrip van de opdracht Context en scope:</w:t>
      </w:r>
    </w:p>
    <w:p>
      <w:pPr>
        <w:numPr>
          <w:ilvl w:val="0"/>
          <w:numId w:val="4"/>
        </w:numPr>
        <w:spacing w:lineRule="auto"/>
      </w:pPr>
      <w:r>
        <w:rPr/>
        <w:t xml:space="preserve">Opdracht: raamovereenkomst voor beheer, onderhoud en beveiliging van cloud- en infrastructuuroplossingen van Gemeente Voorbeeldstad, inclusief servicedesk, monitoring, patching, endpoint- en netwerkbeheer, back-up en restore, Microsoft 365, en beveiligingsmonitoring (SOC).</w:t>
      </w:r>
    </w:p>
    <w:p>
      <w:pPr>
        <w:numPr>
          <w:ilvl w:val="0"/>
          <w:numId w:val="4"/>
        </w:numPr>
        <w:spacing w:lineRule="auto"/>
      </w:pPr>
      <w:r>
        <w:rPr/>
        <w:t xml:space="preserve">Doelgroep: ambtenaren, ketenpartners en eventuele burgerportalen; prioriteit op continuïteit van publieksdiensten.</w:t>
      </w:r>
    </w:p>
    <w:p>
      <w:pPr>
        <w:numPr>
          <w:ilvl w:val="0"/>
          <w:numId w:val="4"/>
        </w:numPr>
        <w:spacing w:lineRule="auto"/>
      </w:pPr>
      <w:r>
        <w:rPr/>
        <w:t xml:space="preserve">Binnen scope: 24/7 P1-support; ITIL-servicedesk; proactieve monitoring; patch- en vulnerabilitymanagement; M365 beheer; back-up/restore EU; change &amp; release management; rapportages en governance.</w:t>
      </w:r>
    </w:p>
    <w:p>
      <w:pPr>
        <w:numPr>
          <w:ilvl w:val="0"/>
          <w:numId w:val="4"/>
        </w:numPr>
        <w:spacing w:lineRule="auto"/>
      </w:pPr>
      <w:r>
        <w:rPr/>
        <w:t xml:space="preserve">Buiten scope (exclusies reeds afgestemd): levering/beheer van onsite hardware tenzij overeengekomen; third-party applicatiesupport buiten technische laag; projectmatig meerwerk buiten vast maandtarief; end-user adoptietraining op verzoek; zie ook Exclusions.</w:t>
      </w:r>
    </w:p>
    <w:p>
      <w:pPr>
        <w:numPr>
          <w:ilvl w:val="0"/>
          <w:numId w:val="4"/>
        </w:numPr>
        <w:spacing w:lineRule="auto"/>
      </w:pPr>
      <w:r>
        <w:rPr/>
        <w:t xml:space="preserve">Eisen: responstijd P1 ≤30 min (wij ≤15 min); beschikbaarheid ≥99,8% (wij ≥99,9%); EU-dataverwerking; BCP; escalatieprocedure; ITIL; monitoring en patching; VOG indien vereist; M365-ondersteuning.</w:t>
      </w:r>
    </w:p>
    <w:p>
      <w:pPr>
        <w:numPr>
          <w:ilvl w:val="0"/>
          <w:numId w:val="4"/>
        </w:numPr>
        <w:spacing w:lineRule="auto"/>
      </w:pPr>
      <w:r>
        <w:rPr/>
        <w:t xml:space="preserve">Aannames (conform tender): tijdige toegang en informatie; kantoortoegankelijkheid; tijdige besluitvorming; adequate netwerkverbindingen; rechtmatige licenties.</w:t>
      </w:r>
    </w:p>
    <w:p>
      <w:pPr>
        <w:spacing w:lineRule="auto"/>
      </w:pPr>
      <w:r>
        <w:rPr/>
        <w:t xml:space="preserve">Value-for-money: hogere SLA’s zonder meerprijs (pricing locked), lagere risico’s door SOC + gestandaardiseerde ITIL-processen, en duurzame inzet (minder kilometers, EU hernieuwbare energie).</w:t>
      </w:r>
    </w:p>
    <w:p>
      <w:pPr>
        <w:numPr>
          <w:ilvl w:val="0"/>
          <w:numId w:val="5"/>
        </w:numPr>
        <w:spacing w:lineRule="auto"/>
      </w:pPr>
      <w:r>
        <w:rPr/>
        <w:t xml:space="preserve">Aanpak (Plan-Do-Check-Act) 3.1 Transitie (8 weken, nul-uitval) Doel: risicoloze overgang met volledige zichtbaarheid en borging.</w:t>
      </w:r>
    </w:p>
    <w:p>
      <w:pPr>
        <w:numPr>
          <w:ilvl w:val="0"/>
          <w:numId w:val="6"/>
        </w:numPr>
        <w:spacing w:lineRule="auto"/>
      </w:pPr>
      <w:r>
        <w:rPr/>
        <w:t xml:space="preserve">Week 1–2 (Plan): kick-off; inventarisatie CMDB (100% kritieke assets geregistreerd); contractkaders en DPA; meten nul-situatie SLA’s; risico-workshop; communicatie- en escalatieplan afgerond. Deliverables: CMDB v1.0, DAP/DPA, Transitieplan.</w:t>
      </w:r>
    </w:p>
    <w:p>
      <w:pPr>
        <w:numPr>
          <w:ilvl w:val="0"/>
          <w:numId w:val="6"/>
        </w:numPr>
        <w:spacing w:lineRule="auto"/>
      </w:pPr>
      <w:r>
        <w:rPr/>
        <w:t xml:space="preserve">Week 3–5 (Do): implementatie monitoring (agents/sensors), logverzameling (EU), back-upbeleid, patchkalender; ITIL-workflows in service management-tool (incident/problem/change); integratie SOC; test restores; M365-baseline review.</w:t>
      </w:r>
    </w:p>
    <w:p>
      <w:pPr>
        <w:numPr>
          <w:ilvl w:val="0"/>
          <w:numId w:val="6"/>
        </w:numPr>
        <w:spacing w:lineRule="auto"/>
      </w:pPr>
      <w:r>
        <w:rPr/>
        <w:t xml:space="preserve">Week 6 (Check): proefdraaien (shadow support); P1/P2 simulaties; toets op SLA-metingen; security tabletop oefening (BCP).</w:t>
      </w:r>
    </w:p>
    <w:p>
      <w:pPr>
        <w:numPr>
          <w:ilvl w:val="0"/>
          <w:numId w:val="6"/>
        </w:numPr>
        <w:spacing w:lineRule="auto"/>
      </w:pPr>
      <w:r>
        <w:rPr/>
        <w:t xml:space="preserve">Week 7–8 (Act): bevindingen doorvoeren; go-live; live-stand-by van senior engineers gedurende 2 weken post go-live; overdracht naar beheer.</w:t>
      </w:r>
    </w:p>
    <w:p>
      <w:pPr>
        <w:spacing w:lineRule="auto"/>
      </w:pPr>
      <w:r>
        <w:rPr/>
        <w:t xml:space="preserve">3.2 Beheerfase (operationeel, 24/7)</w:t>
      </w:r>
    </w:p>
    <w:p>
      <w:pPr>
        <w:numPr>
          <w:ilvl w:val="0"/>
          <w:numId w:val="7"/>
        </w:numPr>
        <w:spacing w:lineRule="auto"/>
      </w:pPr>
      <w:r>
        <w:rPr/>
        <w:t xml:space="preserve">Incidentmanagement: P1 24/7; P2–P4 binnen kantoortijden 08:00–18:00, optioneel verlengd. Prioritering op impact/urgentie; major incident procedure met hourly updates.</w:t>
      </w:r>
    </w:p>
    <w:p>
      <w:pPr>
        <w:numPr>
          <w:ilvl w:val="0"/>
          <w:numId w:val="7"/>
        </w:numPr>
        <w:spacing w:lineRule="auto"/>
      </w:pPr>
      <w:r>
        <w:rPr/>
        <w:t xml:space="preserve">Problemmanagement: root cause analyses binnen 5 werkdagen na P1; trendanalyses maandelijks; bekend probleemregister.</w:t>
      </w:r>
    </w:p>
    <w:p>
      <w:pPr>
        <w:numPr>
          <w:ilvl w:val="0"/>
          <w:numId w:val="7"/>
        </w:numPr>
        <w:spacing w:lineRule="auto"/>
      </w:pPr>
      <w:r>
        <w:rPr/>
        <w:t xml:space="preserve">Changemanagement: CAB wekelijks; standaard changes binnen 2 werkdagen; normal changes risico-gebaseerd; emergency change &lt;2 uur doorlooptijd.</w:t>
      </w:r>
    </w:p>
    <w:p>
      <w:pPr>
        <w:numPr>
          <w:ilvl w:val="0"/>
          <w:numId w:val="7"/>
        </w:numPr>
        <w:spacing w:lineRule="auto"/>
      </w:pPr>
      <w:r>
        <w:rPr/>
        <w:t xml:space="preserve">Monitoring: 24/7 NOC/SOC; MTTD ≤15 min; synthetische testen op kritieke diensten; drempelwaarden per KPI.</w:t>
      </w:r>
    </w:p>
    <w:p>
      <w:pPr>
        <w:numPr>
          <w:ilvl w:val="0"/>
          <w:numId w:val="7"/>
        </w:numPr>
        <w:spacing w:lineRule="auto"/>
      </w:pPr>
      <w:r>
        <w:rPr/>
        <w:t xml:space="preserve">Patch- &amp; vulnerabilitymanagement: kritieke patches ≤48 uur; high ≤7 dagen; CVE-scans wekelijks; compliance-rapport maandelijks; maintenance windows in overleg.</w:t>
      </w:r>
    </w:p>
    <w:p>
      <w:pPr>
        <w:numPr>
          <w:ilvl w:val="0"/>
          <w:numId w:val="7"/>
        </w:numPr>
        <w:spacing w:lineRule="auto"/>
      </w:pPr>
      <w:r>
        <w:rPr/>
        <w:t xml:space="preserve">Back-up &amp; restore: dagelijkse back-ups (kritiek 4× per dag); retentie 30/180/365 dagen (operational/legal); restoretest maandelijks (steekproef).</w:t>
      </w:r>
    </w:p>
    <w:p>
      <w:pPr>
        <w:numPr>
          <w:ilvl w:val="0"/>
          <w:numId w:val="7"/>
        </w:numPr>
        <w:spacing w:lineRule="auto"/>
      </w:pPr>
      <w:r>
        <w:rPr/>
        <w:t xml:space="preserve">M365 beheer: baseline-hardening binnen 90 dagen; Conditional Access; MFA 100%; audit-logging 365 dagen; Secure Score ≥75 binnen 6 maanden.</w:t>
      </w:r>
    </w:p>
    <w:p>
      <w:pPr>
        <w:spacing w:lineRule="auto"/>
      </w:pPr>
      <w:r>
        <w:rPr/>
        <w:t xml:space="preserve">3.3 Security &amp; privacy</w:t>
      </w:r>
    </w:p>
    <w:p>
      <w:pPr>
        <w:numPr>
          <w:ilvl w:val="0"/>
          <w:numId w:val="8"/>
        </w:numPr>
        <w:spacing w:lineRule="auto"/>
      </w:pPr>
      <w:r>
        <w:rPr/>
        <w:t xml:space="preserve">Frameworks: ISO 27001, NEN 7510; beleid voor access, cryptografie, logging, leveranciersmanagement.</w:t>
      </w:r>
    </w:p>
    <w:p>
      <w:pPr>
        <w:numPr>
          <w:ilvl w:val="0"/>
          <w:numId w:val="8"/>
        </w:numPr>
        <w:spacing w:lineRule="auto"/>
      </w:pPr>
      <w:r>
        <w:rPr/>
        <w:t xml:space="preserve">SOC: 24/7 monitoring op endpoint, netwerk, identiteit; playbooks voor ransomware, BEC, data exfiltratie.</w:t>
      </w:r>
    </w:p>
    <w:p>
      <w:pPr>
        <w:numPr>
          <w:ilvl w:val="0"/>
          <w:numId w:val="8"/>
        </w:numPr>
        <w:spacing w:lineRule="auto"/>
      </w:pPr>
      <w:r>
        <w:rPr/>
        <w:t xml:space="preserve">DPIA-ondersteuning op verzoek; dataminimalisatie; EU-only verwerking; DPA annex met subverwerkers.</w:t>
      </w:r>
    </w:p>
    <w:p>
      <w:pPr>
        <w:numPr>
          <w:ilvl w:val="0"/>
          <w:numId w:val="8"/>
        </w:numPr>
        <w:spacing w:lineRule="auto"/>
      </w:pPr>
      <w:r>
        <w:rPr/>
        <w:t xml:space="preserve">Awareness: jaarlijkse training 100% dekking; phishing-simulaties per kwartaal (≥4/jaar).</w:t>
      </w:r>
    </w:p>
    <w:p>
      <w:pPr>
        <w:numPr>
          <w:ilvl w:val="0"/>
          <w:numId w:val="8"/>
        </w:numPr>
        <w:spacing w:lineRule="auto"/>
      </w:pPr>
      <w:r>
        <w:rPr/>
        <w:t xml:space="preserve">VOG: op verzoek, binnen 5 werkdagen; register bijhouden.</w:t>
      </w:r>
    </w:p>
    <w:p>
      <w:pPr>
        <w:spacing w:lineRule="auto"/>
      </w:pPr>
      <w:r>
        <w:rPr/>
        <w:t xml:space="preserve">3.4 Escalatie en Major Incident</w:t>
      </w:r>
    </w:p>
    <w:p>
      <w:pPr>
        <w:numPr>
          <w:ilvl w:val="0"/>
          <w:numId w:val="9"/>
        </w:numPr>
        <w:spacing w:lineRule="auto"/>
      </w:pPr>
      <w:r>
        <w:rPr/>
        <w:t xml:space="preserve">P1-bridges binnen 10 minuten; Incident Manager toegewezen; statusupdates elk uur; stakeholderberichtgeving conform sjabloon; post-incident review binnen 3 werkdagen; verbeteracties binnen 10 werkdagen door CAB beoordeeld.</w:t>
      </w:r>
    </w:p>
    <w:p>
      <w:pPr>
        <w:spacing w:lineRule="auto"/>
      </w:pPr>
      <w:r>
        <w:rPr/>
        <w:t xml:space="preserve">3.5 Continuïteit (BCP/DR)</w:t>
      </w:r>
    </w:p>
    <w:p>
      <w:pPr>
        <w:numPr>
          <w:ilvl w:val="0"/>
          <w:numId w:val="10"/>
        </w:numPr>
        <w:spacing w:lineRule="auto"/>
      </w:pPr>
      <w:r>
        <w:rPr/>
        <w:t xml:space="preserve">RTO ≤4 uur, RPO ≤1 uur voor kritieke diensten; failover-scenario’s gedocumenteerd; jaarlijkse DR-test + halfjaarlijkse tabletop; verbetercyclus PDCA.</w:t>
      </w:r>
    </w:p>
    <w:p>
      <w:pPr>
        <w:spacing w:lineRule="auto"/>
      </w:pPr>
      <w:r>
        <w:rPr/>
        <w:t xml:space="preserve">3.6 Rapportage &amp; overleg (Check &amp; Act)</w:t>
      </w:r>
    </w:p>
    <w:p>
      <w:pPr>
        <w:numPr>
          <w:ilvl w:val="0"/>
          <w:numId w:val="11"/>
        </w:numPr>
        <w:spacing w:lineRule="auto"/>
      </w:pPr>
      <w:r>
        <w:rPr/>
        <w:t xml:space="preserve">Maandelijks service review (MSR): SLA/KPI-rapport, incidenten, changes, security, duurzaamheid, verbeterplan (max. 5 acties).</w:t>
      </w:r>
    </w:p>
    <w:p>
      <w:pPr>
        <w:numPr>
          <w:ilvl w:val="0"/>
          <w:numId w:val="11"/>
        </w:numPr>
        <w:spacing w:lineRule="auto"/>
      </w:pPr>
      <w:r>
        <w:rPr/>
        <w:t xml:space="preserve">Kwartaal QBR: trendanalyses, roadmap, risicoherijking, auditresultaten.</w:t>
      </w:r>
    </w:p>
    <w:p>
      <w:pPr>
        <w:numPr>
          <w:ilvl w:val="0"/>
          <w:numId w:val="11"/>
        </w:numPr>
        <w:spacing w:lineRule="auto"/>
      </w:pPr>
      <w:r>
        <w:rPr/>
        <w:t xml:space="preserve">Realtime dashboards: beschikbaarheid, incidentstatus, patchcompliance, SOC-alerts.</w:t>
      </w:r>
    </w:p>
    <w:p>
      <w:pPr>
        <w:spacing w:lineRule="auto"/>
      </w:pPr>
      <w:r>
        <w:rPr/>
        <w:t xml:space="preserve">3.7 Eenvoudige Gantt transitieplanning</w:t>
      </w:r>
    </w:p>
    <w:p>
      <w:pPr>
        <w:spacing w:lineRule="auto"/>
      </w:pPr>
      <w:r>
        <w:rPr/>
        <w:t xml:space="preserve">Fase | Week 1 | Week 2 | Week 3 | Week 4 | Week 5 | Week 6 | Week 7 | Week 8 Inventarisatie &amp; DPA | ████ | ████ |  |  |  |  |  | Monitoring &amp; Back-up implementatie |  |  | ████ | ████ | ████ |  |  | ITIL-workflows &amp; SOC-integratie |  |  | ███ | ███ | ███ | █ |  | Testen (restore, simulaties) |  |  |  |  | █ | ███ |  | Go-live &amp; Hypercare |  |  |  |  |  |  | ████ | ████</w:t>
      </w:r>
    </w:p>
    <w:p>
      <w:pPr>
        <w:numPr>
          <w:ilvl w:val="0"/>
          <w:numId w:val="12"/>
        </w:numPr>
        <w:spacing w:lineRule="auto"/>
      </w:pPr>
      <w:r>
        <w:rPr/>
        <w:t xml:space="preserve">Borging van kwaliteit (ISO/ITIL/PDCA)</w:t>
      </w:r>
    </w:p>
    <w:p>
      <w:pPr>
        <w:numPr>
          <w:ilvl w:val="0"/>
          <w:numId w:val="13"/>
        </w:numPr>
        <w:spacing w:lineRule="auto"/>
      </w:pPr>
      <w:r>
        <w:rPr/>
        <w:t xml:space="preserve">ISO 9001: kwaliteitsmanagement, documentcontrole, interne audits (2× per jaar), corrigerende maatregelen, managementreview (jaarlijks).</w:t>
      </w:r>
    </w:p>
    <w:p>
      <w:pPr>
        <w:numPr>
          <w:ilvl w:val="0"/>
          <w:numId w:val="13"/>
        </w:numPr>
        <w:spacing w:lineRule="auto"/>
      </w:pPr>
      <w:r>
        <w:rPr/>
        <w:t xml:space="preserve">ISO 27001/NEN 7510: ISMS met risicoanalyse jaarlijks; leveranciersbeoordelingen; toegangsbeheer; logging; continuïteit.</w:t>
      </w:r>
    </w:p>
    <w:p>
      <w:pPr>
        <w:numPr>
          <w:ilvl w:val="0"/>
          <w:numId w:val="13"/>
        </w:numPr>
        <w:spacing w:lineRule="auto"/>
      </w:pPr>
      <w:r>
        <w:rPr/>
        <w:t xml:space="preserve">ITIL v4: processen ingericht in servicetooling; KPI’s aan processen gekoppeld; eigenaarschap per proceshouder.</w:t>
      </w:r>
    </w:p>
    <w:p>
      <w:pPr>
        <w:numPr>
          <w:ilvl w:val="0"/>
          <w:numId w:val="13"/>
        </w:numPr>
        <w:spacing w:lineRule="auto"/>
      </w:pPr>
      <w:r>
        <w:rPr/>
        <w:t xml:space="preserve">PDCA: maandelijkse Check (rapportages) en Act (verbeterplan); kwartaal QBR; lessons learned uit PIR’s in backlog; max. 60 dagen doorlooptijd voor major verbeteringen.</w:t>
      </w:r>
    </w:p>
    <w:p>
      <w:pPr>
        <w:numPr>
          <w:ilvl w:val="0"/>
          <w:numId w:val="14"/>
        </w:numPr>
        <w:spacing w:lineRule="auto"/>
      </w:pPr>
      <w:r>
        <w:rPr/>
        <w:t xml:space="preserve">Duurzaamheid en maatschappelijke waarde Doelstellingen (SMART):</w:t>
      </w:r>
    </w:p>
    <w:p>
      <w:pPr>
        <w:numPr>
          <w:ilvl w:val="0"/>
          <w:numId w:val="15"/>
        </w:numPr>
        <w:spacing w:lineRule="auto"/>
      </w:pPr>
      <w:r>
        <w:rPr/>
        <w:t xml:space="preserve">Energie &amp; datacenters: 100% EU-regio’s met hernieuwbare stroom (Azure West/North Europe, M365 EU Data Boundary). KPI K-14: 100% green-region usage; bewijs: leveranciersverklaringen (E-09).</w:t>
      </w:r>
    </w:p>
    <w:p>
      <w:pPr>
        <w:numPr>
          <w:ilvl w:val="0"/>
          <w:numId w:val="15"/>
        </w:numPr>
        <w:spacing w:lineRule="auto"/>
      </w:pPr>
      <w:r>
        <w:rPr/>
        <w:t xml:space="preserve">Mobiliteit: 92% remote-resolutie; autokilometers −40% YoY; elektrische poolauto’s voor onsite; bundeling van bezoeken. KPI K-13; bewijs: mobiliteitsoverzicht (E-09).</w:t>
      </w:r>
    </w:p>
    <w:p>
      <w:pPr>
        <w:numPr>
          <w:ilvl w:val="0"/>
          <w:numId w:val="15"/>
        </w:numPr>
        <w:spacing w:lineRule="auto"/>
      </w:pPr>
      <w:r>
        <w:rPr/>
        <w:t xml:space="preserve">Digitale sobriety: retentielimieten, lifecycle policies; optimalisatie back-ups (deduplicatie/compressie) → doel 20% opslagreductie in 12 maanden. KPI K-15; bewijs: back-uprapport (E-09).</w:t>
      </w:r>
    </w:p>
    <w:p>
      <w:pPr>
        <w:numPr>
          <w:ilvl w:val="0"/>
          <w:numId w:val="15"/>
        </w:numPr>
        <w:spacing w:lineRule="auto"/>
      </w:pPr>
      <w:r>
        <w:rPr/>
        <w:t xml:space="preserve">Maatschappelijk: stageplaatsen (2 FTE/jaar), inclusieve werving (neutraal), e-facturatie 100%. KPI K-16; bewijs: HR-rapportage (E-09).</w:t>
      </w:r>
    </w:p>
    <w:p>
      <w:pPr>
        <w:numPr>
          <w:ilvl w:val="0"/>
          <w:numId w:val="16"/>
        </w:numPr>
        <w:spacing w:lineRule="auto"/>
      </w:pPr>
      <w:r>
        <w:rPr/>
        <w:t xml:space="preserve">Risico’s en beheersmaatregelen (samenvatting) Code | Risico | Kans/Impact | Beheersing (SMART) | Koppeling R-01 | Onvoldoende beschikbaarheid | M/H | Redundantie, synthetische checks, runbooks; 99,9%/mnd; service credits. KPI K-01; W-01; bewijs E-02/E-09 R-02 | Langzame P1-respons | L/H | 24/7 warmlijn, MI-procedure ≤10 min, on-call schema; responstijd ≤15 min 99%. K-02/K-03; W-02/W-03; E-03/E-09 R-03 | Patchachterstand | M/M | Kritiek ≤48u, high ≤7d, maandelijkse compliance ≥95%. K-05; W-04; E-02/E-09 R-04 | Data buiten EU | L/H | Contractueel EU-only, geofence, DPA; 100% EU-log/back-up. K-06; W-05; E-07/E-10 R-05 | Procesafwijking | M/M | ITIL-audits 2×/jaar, CAB weekly, CSI-backlog ≤60d. K-07; W-06; E-09 R-06 | Onvoldoende continuïteit | L/H | RTO ≤4u, RPO ≤1u, 1×/jaar DR-test, 2×/jaar tabletop. K-08; W-07; E-05/E-09 R-07 | Security-incident (ransomware) | M/H | SOC 24/7, MTTD ≤15 min, MTTR ≤120 min, EDR op 100% endpoints. K-09/K-10; W-08; E-03/E-09 R-08 | M365 misconfiguratie | M/M | Baselines binnen 90 dagen; Secure Score ≥75/6m; maandelijkse config-drift check. K-11; W-09; E-09 R-09 | Integriteit personeel | L/H | VOG binnen 5 werkdagen; jaarlijkse awareness 100%. K-12; W-10; E-06/E-08 R-10 | CO2-doel niet gehaald | M/M | Remote ≥92%, bundeling bezoeken, EV inzet, rapportage. K-13–K-15; W-11–W-13; E-09</w:t>
      </w:r>
    </w:p>
    <w:p>
      <w:pPr>
        <w:numPr>
          <w:ilvl w:val="0"/>
          <w:numId w:val="16"/>
        </w:numPr>
        <w:spacing w:lineRule="auto"/>
      </w:pPr>
      <w:r>
        <w:rPr/>
        <w:t xml:space="preserve">Organisatie en governance Rollen en bezetting (24/7 voor P1):</w:t>
      </w:r>
    </w:p>
    <w:p>
      <w:pPr>
        <w:numPr>
          <w:ilvl w:val="0"/>
          <w:numId w:val="17"/>
        </w:numPr>
        <w:spacing w:lineRule="auto"/>
      </w:pPr>
      <w:r>
        <w:rPr/>
        <w:t xml:space="preserve">Service Manager (eindverantwoordelijk KPI’s/rapportages): 1 FTE, bereikbaar 08:00–18:00; escalatie 24/7 bij P1.</w:t>
      </w:r>
    </w:p>
    <w:p>
      <w:pPr>
        <w:numPr>
          <w:ilvl w:val="0"/>
          <w:numId w:val="17"/>
        </w:numPr>
        <w:spacing w:lineRule="auto"/>
      </w:pPr>
      <w:r>
        <w:rPr/>
        <w:t xml:space="preserve">Technisch Lead (architectuur/changes): 0,6 FTE.</w:t>
      </w:r>
    </w:p>
    <w:p>
      <w:pPr>
        <w:numPr>
          <w:ilvl w:val="0"/>
          <w:numId w:val="17"/>
        </w:numPr>
        <w:spacing w:lineRule="auto"/>
      </w:pPr>
      <w:r>
        <w:rPr/>
        <w:t xml:space="preserve">Security Officer (ISMS/SOC coördinatie): 0,4 FTE.</w:t>
      </w:r>
    </w:p>
    <w:p>
      <w:pPr>
        <w:numPr>
          <w:ilvl w:val="0"/>
          <w:numId w:val="17"/>
        </w:numPr>
        <w:spacing w:lineRule="auto"/>
      </w:pPr>
      <w:r>
        <w:rPr/>
        <w:t xml:space="preserve">Change Manager/CAB-voorzitter: 0,2 FTE.</w:t>
      </w:r>
    </w:p>
    <w:p>
      <w:pPr>
        <w:numPr>
          <w:ilvl w:val="0"/>
          <w:numId w:val="17"/>
        </w:numPr>
        <w:spacing w:lineRule="auto"/>
      </w:pPr>
      <w:r>
        <w:rPr/>
        <w:t xml:space="preserve">Servicedesk (ITIL): 5 FTE (08:00–18:00), door Digital Ease B.V.</w:t>
      </w:r>
    </w:p>
    <w:p>
      <w:pPr>
        <w:numPr>
          <w:ilvl w:val="0"/>
          <w:numId w:val="17"/>
        </w:numPr>
        <w:spacing w:lineRule="auto"/>
      </w:pPr>
      <w:r>
        <w:rPr/>
        <w:t xml:space="preserve">NOC/SOC: 24/7 via SecureOps NL (contractueel geborgd).</w:t>
      </w:r>
    </w:p>
    <w:p>
      <w:pPr>
        <w:numPr>
          <w:ilvl w:val="0"/>
          <w:numId w:val="17"/>
        </w:numPr>
        <w:spacing w:lineRule="auto"/>
      </w:pPr>
      <w:r>
        <w:rPr/>
        <w:t xml:space="preserve">Onsite field services: via IT Infra Group (SLA 4 uur on-site bij nood in regio’s).</w:t>
      </w:r>
    </w:p>
    <w:p>
      <w:pPr>
        <w:numPr>
          <w:ilvl w:val="0"/>
          <w:numId w:val="17"/>
        </w:numPr>
        <w:spacing w:lineRule="auto"/>
      </w:pPr>
      <w:r>
        <w:rPr/>
        <w:t xml:space="preserve">Vervanging/continuïteit: buddy-systeem; kennisartikelen in KMS; inwerkprotocol ≤10 werkdagen.</w:t>
      </w:r>
    </w:p>
    <w:p>
      <w:pPr>
        <w:spacing w:lineRule="auto"/>
      </w:pPr>
      <w:r>
        <w:rPr/>
        <w:t xml:space="preserve">RASCI-overzicht (verkort) Activiteit | Service Manager | Technisch Lead | Security Officer | NOC/SOC | Field (IT Infra) | Gemeente Incident P1 | A | R | C | R | S | I Problem | A | R | C | C | S | I Change (CAB) | A | R | C | C | S | I Patch mgmt | A | R | C | C | S | I Back-up/DR | A | R | C | C | S | I M365 baseline | A | R | C | C | S | I Rapportages | A | C | C | C | I | I/A Security alerts | C | C | A/R | R | S | I Escalaties | A | C | C | C | S | I</w:t>
      </w:r>
    </w:p>
    <w:p>
      <w:pPr>
        <w:numPr>
          <w:ilvl w:val="0"/>
          <w:numId w:val="18"/>
        </w:numPr>
        <w:spacing w:lineRule="auto"/>
      </w:pPr>
      <w:r>
        <w:rPr/>
        <w:t xml:space="preserve">Programma van Wensen (W-xx) met kruiskoppelingen W-xx | SMART-beschrijving | KPI | Risico | Bewijs W-01 | Beschikbaarheid kritieke systemen ≥99,90% per maand; service credits bij &lt;99,90%. | K-01 | R-01 | E-02 (monitoring), E-09 (rapport) W-02 | P1-responstijd ≤15 min, 24/7/365, in 99% van de gevallen. | K-02 | R-02 | E-03 (on-call), E-09 W-03 | P1-oplostijd ≤2 uur, 95% gehaald per maand. | K-03 | R-02 | E-09 (SLA-rapport) W-04 | Patchbeleid: kritiek ≤48u, high ≤7d, compliance ≥95%/mnd. | K-05 | R-03 | E-02, E-09 W-05 | 100% EU-only data, back-up en logs; geen offshoring. | K-06 | R-04 | E-07 (DPA), E-10 (DPO-verklaring) W-06 | ITIL v4-processen actief; 2×/jaar procesaudit; CSI acties ≤60d. | K-07 | R-05 | E-09 (auditverslag) W-07 | BCP/DR getest: RTO ≤4u, RPO ≤1u; 1×/jaar DR-test, 2× tabletop. | K-08 | R-06 | E-05 (BCP/DR), E-09 W-08 | SOC 24/7: MTTD ≤15min, MTTR ≤120min voor high; EDR op 100% endpoints. | K-09/K-10 | R-07 | E-03, E-09 W-09 | M365 baseline binnen 90 dagen; Secure Score ≥75 binnen 6 maanden. | K-11 | R-08 | E-09 (configrapport) W-10 | VOG op verzoek binnen 5 werkdagen; 100% jaarlijkse awareness. | K-12 | R-09 | E-06 (VOG-register), E-08 (trainingslog) W-11 | Remote-resolutie ≥92% per kwartaal; visits gebundeld. | K-13 | R-10 | E-09 (mobiliteitslog) W-12 | Autokilometers −40% YoY; EV inzet 100% bij onsite. | K-13 | R-10 | E-09 W-13 | 100% EU datacenters op hernieuwbare stroom. | K-14 | R-10 | E-09 (leveranciersverklaring) W-14 | Back-upopslagreductie 20% binnen 12 maanden via optimalisatie. | K-15 | R-10 | E-09 (back-uprapport) W-15 | Maandelijkse MSR en kwartaal-QBR met actieplan (max. 5 acties). | K-07 | R-05 | E-09 (verslagen) W-16 | Escalatieprocedure gepubliceerd; MI-bridge binnen 10 min; hourly updates. | K-02/K-03 | R-02 | E-09 (PIR’s) W-17 | EU-loggingretentie 365 dagen; audit-trails compleet. | K-06 | R-04/R-07 | E-02/E-09 W-18 | CAB wekelijks; standaard changes ≤2 werkdagen; emergency ≤2 uur. | K-07 | R-05 | E-09 (CAB-notulen) W-19 | Maandelijkse vulnerability scan; kritieke findings ≤48u opgelost. | K-05 | R-03/R-07 | E-09 (scanrapport) W-20 | Servicecontinuïteit bij piek: capaciteit opschalen binnen 48 uur. | K-01/K-02 | R-01 | E-09 (capaciteitsplan)</w:t>
      </w:r>
    </w:p>
    <w:p>
      <w:pPr>
        <w:spacing w:lineRule="auto"/>
      </w:pPr>
      <w:r>
        <w:rPr/>
        <w:t xml:space="preserve">Bewijsdefinities:</w:t>
      </w:r>
    </w:p>
    <w:p>
      <w:pPr>
        <w:numPr>
          <w:ilvl w:val="0"/>
          <w:numId w:val="19"/>
        </w:numPr>
        <w:spacing w:lineRule="auto"/>
      </w:pPr>
      <w:r>
        <w:rPr/>
        <w:t xml:space="preserve">E-02 Monitoring dashboards en uptime logs (NOC)</w:t>
      </w:r>
    </w:p>
    <w:p>
      <w:pPr>
        <w:numPr>
          <w:ilvl w:val="0"/>
          <w:numId w:val="19"/>
        </w:numPr>
        <w:spacing w:lineRule="auto"/>
      </w:pPr>
      <w:r>
        <w:rPr/>
        <w:t xml:space="preserve">E-03 On-call roosters, SOC playbooks en alertlogs</w:t>
      </w:r>
    </w:p>
    <w:p>
      <w:pPr>
        <w:numPr>
          <w:ilvl w:val="0"/>
          <w:numId w:val="19"/>
        </w:numPr>
        <w:spacing w:lineRule="auto"/>
      </w:pPr>
      <w:r>
        <w:rPr/>
        <w:t xml:space="preserve">E-05 BCP/DR-documentatie en testverslagen</w:t>
      </w:r>
    </w:p>
    <w:p>
      <w:pPr>
        <w:numPr>
          <w:ilvl w:val="0"/>
          <w:numId w:val="19"/>
        </w:numPr>
        <w:spacing w:lineRule="auto"/>
      </w:pPr>
      <w:r>
        <w:rPr/>
        <w:t xml:space="preserve">E-06 VOG-register (geanonimiseerde bevestigingen)</w:t>
      </w:r>
    </w:p>
    <w:p>
      <w:pPr>
        <w:numPr>
          <w:ilvl w:val="0"/>
          <w:numId w:val="19"/>
        </w:numPr>
        <w:spacing w:lineRule="auto"/>
      </w:pPr>
      <w:r>
        <w:rPr/>
        <w:t xml:space="preserve">E-07 Verwerkersovereenkomst en subverwerkerslijst</w:t>
      </w:r>
    </w:p>
    <w:p>
      <w:pPr>
        <w:numPr>
          <w:ilvl w:val="0"/>
          <w:numId w:val="19"/>
        </w:numPr>
        <w:spacing w:lineRule="auto"/>
      </w:pPr>
      <w:r>
        <w:rPr/>
        <w:t xml:space="preserve">E-08 Trainingsregister security/privacy</w:t>
      </w:r>
    </w:p>
    <w:p>
      <w:pPr>
        <w:numPr>
          <w:ilvl w:val="0"/>
          <w:numId w:val="19"/>
        </w:numPr>
        <w:spacing w:lineRule="auto"/>
      </w:pPr>
      <w:r>
        <w:rPr/>
        <w:t xml:space="preserve">E-09 Maand-/kwartaalrapporten en auditnotulen</w:t>
      </w:r>
    </w:p>
    <w:p>
      <w:pPr>
        <w:numPr>
          <w:ilvl w:val="0"/>
          <w:numId w:val="19"/>
        </w:numPr>
        <w:spacing w:lineRule="auto"/>
      </w:pPr>
      <w:r>
        <w:rPr/>
        <w:t xml:space="preserve">E-10 DPO-verklaring EU-dataverwerking</w:t>
      </w:r>
    </w:p>
    <w:p>
      <w:pPr>
        <w:numPr>
          <w:ilvl w:val="0"/>
          <w:numId w:val="20"/>
        </w:numPr>
        <w:spacing w:lineRule="auto"/>
      </w:pPr>
      <w:r>
        <w:rPr/>
        <w:t xml:space="preserve">KPI/SLA-samenvatting KPI | Definitie | Target | Meting | Frequentie | Koppeling K-01 Beschikbaarheid | Uptime kritieke systemen | ≥99,90%/mnd | Synthetische en real-user monitoring | Maandelijks | W-01, R-01 K-02 P1-responstijd | Tijd tot acceptatie | ≤15 min, 99% | Servicedesk/NOC logs | Maandelijks | W-02, R-02 K-03 P1-oplostijd | Tijd tot herstel | ≤2 uur, 95% | Ticketing/PIR | Maandelijks | W-03, R-02 K-04 Monitoring coverage | % kritieke assets gemonitord | 100% | CMDB vs sensors | Maandelijks | W-04, R-03 K-05 Patchcompliance | Kritiek ≤48u; high ≤7d; ≥95% | 95%+ | Patchrapport | Maandelijks | W-04, R-03 K-06 EU-only verwerking | % data/logs/back-ups in EU | 100% | Config-audits | Kwartaal | W-05/W-17, R-04 K-07 ITIL-proceskwaliteit | Audit-score en doorlooptijd changes | 90%+ score; std ≤2d | Procesaudit/CAB | Halfjaar/maand | W-06/W-18, R-05 K-08 Continuïteit | RTO/RPO gehaald in tests | 100% | DR-testverslag | Jaarlijks | W-07, R-06 K-09 MTTD | Time-to-detect high alerts | ≤15 min | SIEM/SOC logs | Maandelijks | W-08, R-07 K-10 MTTR security | Time-to-respond high alerts | ≤120 min | SIEM/SOC logs | Maandelijks | W-08, R-07 K-11 M365 posture | Secure Score | ≥75/6 mnd | M365 rapport | Maandelijks | W-09, R-08 K-12 Integriteit &amp; awareness | VOG en training | 100% dekking | HR/training logs | Jaarlijks | W-10, R-09 K-13 Remote-resolutie &amp; mobiliteit | % remote; km reductie | ≥92%; −40% YoY | Tickets/mobiliteit | Maandelijks/jaar | W-11/W-12, R-10 K-14 Groene regio’s | % workloads in groene EU-regio’s | 100% | Cloud rapport | Kwartaal | W-13, R-10 K-15 Opslagoptimalisatie | Back-upreductie | ≥20%/12 mnd | Back-uprapport | Kwartaal | W-14, R-10 K-16 Maatschappelijk | Stageplaatsen/e-facturatie | 2 FTE/jaar; 100% e-factuur | HR/fin. rapport | Jaarlijks | W-15 (governance uitbreiding)</w:t>
      </w:r>
    </w:p>
    <w:p>
      <w:pPr>
        <w:spacing w:lineRule="auto"/>
      </w:pPr>
      <w:r>
        <w:rPr/>
        <w:t xml:space="preserve">SLA’s en service credits:</w:t>
      </w:r>
    </w:p>
    <w:p>
      <w:pPr>
        <w:numPr>
          <w:ilvl w:val="0"/>
          <w:numId w:val="21"/>
        </w:numPr>
        <w:spacing w:lineRule="auto"/>
      </w:pPr>
      <w:r>
        <w:rPr/>
        <w:t xml:space="preserve">Bij onderprestatie K-01: creditering 5–10% maandfee van betreffende dienst (bandbreedte per 0,1%-punt onder target), onverminderd overige rechten.</w:t>
      </w:r>
    </w:p>
    <w:p>
      <w:pPr>
        <w:numPr>
          <w:ilvl w:val="0"/>
          <w:numId w:val="21"/>
        </w:numPr>
        <w:spacing w:lineRule="auto"/>
      </w:pPr>
      <w:r>
        <w:rPr/>
        <w:t xml:space="preserve">Voor K-02/K-03 structurele afwijking (&gt;2 maanden per jaar): verbeterplan binnen 10 werkdagen; bij aanhoudende afwijking recht op beëindiging specifieke servicecomponent zonder boete.</w:t>
      </w:r>
    </w:p>
    <w:p>
      <w:pPr>
        <w:numPr>
          <w:ilvl w:val="0"/>
          <w:numId w:val="21"/>
        </w:numPr>
        <w:spacing w:lineRule="auto"/>
      </w:pPr>
      <w:r>
        <w:rPr/>
        <w:t xml:space="preserve">Rapportage: binnen 5 werkdagen na maandafsluiting.</w:t>
      </w:r>
    </w:p>
    <w:p>
      <w:pPr>
        <w:numPr>
          <w:ilvl w:val="0"/>
          <w:numId w:val="22"/>
        </w:numPr>
        <w:spacing w:lineRule="auto"/>
      </w:pPr>
      <w:r>
        <w:rPr/>
        <w:t xml:space="preserve">Borging Compliance en KO-eisen</w:t>
      </w:r>
    </w:p>
    <w:p>
      <w:pPr>
        <w:numPr>
          <w:ilvl w:val="0"/>
          <w:numId w:val="23"/>
        </w:numPr>
        <w:spacing w:lineRule="auto"/>
      </w:pPr>
      <w:r>
        <w:rPr/>
        <w:t xml:space="preserve">KO: ISO 27001 — geldig certificaat aanwezig (Digital Ease B.V.).</w:t>
      </w:r>
    </w:p>
    <w:p>
      <w:pPr>
        <w:numPr>
          <w:ilvl w:val="0"/>
          <w:numId w:val="23"/>
        </w:numPr>
        <w:spacing w:lineRule="auto"/>
      </w:pPr>
      <w:r>
        <w:rPr/>
        <w:t xml:space="preserve">KO: ISO 9001 — geldig certificaat aanwezig.</w:t>
      </w:r>
    </w:p>
    <w:p>
      <w:pPr>
        <w:numPr>
          <w:ilvl w:val="0"/>
          <w:numId w:val="23"/>
        </w:numPr>
        <w:spacing w:lineRule="auto"/>
      </w:pPr>
      <w:r>
        <w:rPr/>
        <w:t xml:space="preserve">KO: 24/7 bereikbaarheidsdienst — ingericht via NOC/SOC en senior on-call.</w:t>
      </w:r>
    </w:p>
    <w:p>
      <w:pPr>
        <w:numPr>
          <w:ilvl w:val="0"/>
          <w:numId w:val="23"/>
        </w:numPr>
        <w:spacing w:lineRule="auto"/>
      </w:pPr>
      <w:r>
        <w:rPr/>
        <w:t xml:space="preserve">Must-haves: responstijd, beschikbaarheid, monitoring/patching, ITIL-servicedesk, EU-dataverwerking, escalatieprocedure, BCP, VOG, proactieve monitoring, M365 — alle meegenomen in W-01 t/m W-20 en KPI K-01 t/m K-16.</w:t>
      </w:r>
    </w:p>
    <w:p>
      <w:pPr>
        <w:numPr>
          <w:ilvl w:val="0"/>
          <w:numId w:val="24"/>
        </w:numPr>
        <w:spacing w:lineRule="auto"/>
      </w:pPr>
      <w:r>
        <w:rPr/>
        <w:t xml:space="preserve">Prijs, garantie en randvoorwaarden</w:t>
      </w:r>
    </w:p>
    <w:p>
      <w:pPr>
        <w:numPr>
          <w:ilvl w:val="0"/>
          <w:numId w:val="25"/>
        </w:numPr>
        <w:spacing w:lineRule="auto"/>
      </w:pPr>
      <w:r>
        <w:rPr/>
        <w:t xml:space="preserve">Prijs: conform pricing locked; hogere SLA’s zonder meerprijs.</w:t>
      </w:r>
    </w:p>
    <w:p>
      <w:pPr>
        <w:numPr>
          <w:ilvl w:val="0"/>
          <w:numId w:val="25"/>
        </w:numPr>
        <w:spacing w:lineRule="auto"/>
      </w:pPr>
      <w:r>
        <w:rPr/>
        <w:t xml:space="preserve">Garantie: 12 maanden op projectdeliverables (transitie, documentatie, configuratie) met herstel van tekortkomingen binnen redelijke termijn (max. 10 werkdagen na melding, tenzij P1).</w:t>
      </w:r>
    </w:p>
    <w:p>
      <w:pPr>
        <w:numPr>
          <w:ilvl w:val="0"/>
          <w:numId w:val="25"/>
        </w:numPr>
        <w:spacing w:lineRule="auto"/>
      </w:pPr>
      <w:r>
        <w:rPr/>
        <w:t xml:space="preserve">Verwerkersovereenkomst: standaard DPA met subverwerkerslijst; EU-only; auditrechten.</w:t>
      </w:r>
    </w:p>
    <w:p>
      <w:pPr>
        <w:numPr>
          <w:ilvl w:val="0"/>
          <w:numId w:val="25"/>
        </w:numPr>
        <w:spacing w:lineRule="auto"/>
      </w:pPr>
      <w:r>
        <w:rPr/>
        <w:t xml:space="preserve">Aannames/Exclusies: overgenomen uit tender (zie inleiding), afwijkingen vooraf afstemmen.</w:t>
      </w:r>
    </w:p>
    <w:p>
      <w:pPr>
        <w:numPr>
          <w:ilvl w:val="0"/>
          <w:numId w:val="26"/>
        </w:numPr>
        <w:spacing w:lineRule="auto"/>
      </w:pPr>
      <w:r>
        <w:rPr/>
        <w:t xml:space="preserve">Conclusie Met deze EMVI bieden wij Gemeente Voorbeeldstad aantoonbare meerwaarde: hogere beschikbaarheid (99,9%), snellere incidentafhandeling (P1 ≤15 min, herstel ≤2 uur), bewezen security (24/7 SOC, MTTD ≤15 min), sterke continuïteit (RTO ≤4u/RPO ≤1u), volledig EU-conform en duurzaam ingericht (92% remote, 100% groene EU-regio’s). Alle beloften zijn SMART, ITIL-geborgd en PDCA-gestuurd, met transparante KPI-rapportage, duidelijke escalaties en service credits. Risico’s zijn in kaart gebracht en gekoppeld aan KPI’s, Wensen en bewijslast, zodat sturing, compliance en audittrail op orde zijn vanaf dag 1.</w:t>
      </w:r>
    </w:p>
    <w:p>
      <w:pPr>
        <w:spacing w:lineRule="auto"/>
      </w:pPr>
      <w:r>
        <w:rPr/>
        <w:t xml:space="preserve">Bijlagen/Deliverables binnen dit plan:</w:t>
      </w:r>
    </w:p>
    <w:p>
      <w:pPr>
        <w:numPr>
          <w:ilvl w:val="0"/>
          <w:numId w:val="27"/>
        </w:numPr>
        <w:spacing w:lineRule="auto"/>
      </w:pPr>
      <w:r>
        <w:rPr/>
        <w:t xml:space="preserve">Plan van Aanpak (secties 3–4),</w:t>
      </w:r>
    </w:p>
    <w:p>
      <w:pPr>
        <w:numPr>
          <w:ilvl w:val="0"/>
          <w:numId w:val="27"/>
        </w:numPr>
        <w:spacing w:lineRule="auto"/>
      </w:pPr>
      <w:r>
        <w:rPr/>
        <w:t xml:space="preserve">Risicodossier (sectie 6),</w:t>
      </w:r>
    </w:p>
    <w:p>
      <w:pPr>
        <w:numPr>
          <w:ilvl w:val="0"/>
          <w:numId w:val="27"/>
        </w:numPr>
        <w:spacing w:lineRule="auto"/>
      </w:pPr>
      <w:r>
        <w:rPr/>
        <w:t xml:space="preserve">KPI-overzicht (sectie 9),</w:t>
      </w:r>
    </w:p>
    <w:p>
      <w:pPr>
        <w:numPr>
          <w:ilvl w:val="0"/>
          <w:numId w:val="27"/>
        </w:numPr>
        <w:spacing w:lineRule="auto"/>
      </w:pPr>
      <w:r>
        <w:rPr/>
        <w:t xml:space="preserve">Escalatieprocedure (sectie 3.4),</w:t>
      </w:r>
    </w:p>
    <w:p>
      <w:pPr>
        <w:numPr>
          <w:ilvl w:val="0"/>
          <w:numId w:val="27"/>
        </w:numPr>
        <w:spacing w:lineRule="auto"/>
      </w:pPr>
      <w:r>
        <w:rPr/>
        <w:t xml:space="preserve">BCP/DR samenvatting (sectie 3.5),</w:t>
      </w:r>
    </w:p>
    <w:p>
      <w:pPr>
        <w:numPr>
          <w:ilvl w:val="0"/>
          <w:numId w:val="27"/>
        </w:numPr>
        <w:spacing w:lineRule="auto"/>
      </w:pPr>
      <w:r>
        <w:rPr/>
        <w:t xml:space="preserve">Programma van Wensen (sectie 8).</w:t>
      </w:r>
    </w:p>
    <w:p>
      <w:pPr>
        <w:spacing w:lineRule="auto"/>
      </w:pPr>
      <w:r>
        <w:rPr/>
        <w:t xml:space="preserve">Contact en uitvoering:</w:t>
      </w:r>
    </w:p>
    <w:p>
      <w:pPr>
        <w:numPr>
          <w:ilvl w:val="0"/>
          <w:numId w:val="28"/>
        </w:numPr>
        <w:spacing w:lineRule="auto"/>
      </w:pPr>
      <w:r>
        <w:rPr/>
        <w:t xml:space="preserve">Opdrachtnemer: Digital Ease B.V. (KvK 88392011, NL004589230B12), Innovatieplein 12, 1234 AB Amsterdam.</w:t>
      </w:r>
    </w:p>
    <w:p>
      <w:pPr>
        <w:numPr>
          <w:ilvl w:val="0"/>
          <w:numId w:val="28"/>
        </w:numPr>
        <w:spacing w:lineRule="auto"/>
      </w:pPr>
      <w:r>
        <w:rPr/>
        <w:t xml:space="preserve">Partners: SecureOps NL (SOC 24/7), IT Infra Group (onsite field).</w:t>
      </w:r>
    </w:p>
    <w:p>
      <w:pPr>
        <w:numPr>
          <w:ilvl w:val="0"/>
          <w:numId w:val="28"/>
        </w:numPr>
        <w:spacing w:lineRule="auto"/>
      </w:pPr>
      <w:r>
        <w:rPr/>
        <w:t xml:space="preserve">Service Manager (nadere gegevens bij gunning); NEN/ISO-certificaten beschikbaar op verzoek.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9"/>
        </w:numPr>
        <w:spacing w:lineRule="auto"/>
      </w:pPr>
      <w:r>
        <w:rPr/>
        <w:t xml:space="preserve">Actuele assetlijst/CMDB en netwerkdiagrammen.</w:t>
      </w:r>
    </w:p>
    <w:p>
      <w:pPr>
        <w:numPr>
          <w:ilvl w:val="0"/>
          <w:numId w:val="29"/>
        </w:numPr>
        <w:spacing w:lineRule="auto"/>
      </w:pPr>
      <w:r>
        <w:rPr/>
        <w:t xml:space="preserve">Overzicht kritieke diensten en onderhoudsvensters.</w:t>
      </w:r>
    </w:p>
    <w:p>
      <w:pPr>
        <w:numPr>
          <w:ilvl w:val="0"/>
          <w:numId w:val="29"/>
        </w:numPr>
        <w:spacing w:lineRule="auto"/>
      </w:pPr>
      <w:r>
        <w:rPr/>
        <w:t xml:space="preserve">Toegang tot bestaande monitoring, ticketing en cloud-tenants (M365/Azure) met juiste rollen.</w:t>
      </w:r>
    </w:p>
    <w:p>
      <w:pPr>
        <w:numPr>
          <w:ilvl w:val="0"/>
          <w:numId w:val="29"/>
        </w:numPr>
        <w:spacing w:lineRule="auto"/>
      </w:pPr>
      <w:r>
        <w:rPr/>
        <w:t xml:space="preserve">Lijst van huidige verwerkers en subverwerkers; DPA-contactpersoon/DPO.</w:t>
      </w:r>
    </w:p>
    <w:p>
      <w:pPr>
        <w:numPr>
          <w:ilvl w:val="0"/>
          <w:numId w:val="29"/>
        </w:numPr>
        <w:spacing w:lineRule="auto"/>
      </w:pPr>
      <w:r>
        <w:rPr/>
        <w:t xml:space="preserve">Security policies, compliance-eisen (BIO/AVG) en bestaande DPIA’s.</w:t>
      </w:r>
    </w:p>
    <w:p>
      <w:pPr>
        <w:numPr>
          <w:ilvl w:val="0"/>
          <w:numId w:val="29"/>
        </w:numPr>
        <w:spacing w:lineRule="auto"/>
      </w:pPr>
      <w:r>
        <w:rPr/>
        <w:t xml:space="preserve">Contactlijst key stakeholders en escalaties (incl. leveranciers).</w:t>
      </w:r>
    </w:p>
    <w:p>
      <w:pPr>
        <w:numPr>
          <w:ilvl w:val="0"/>
          <w:numId w:val="29"/>
        </w:numPr>
        <w:spacing w:lineRule="auto"/>
      </w:pPr>
      <w:r>
        <w:rPr/>
        <w:t xml:space="preserve">Overzicht back-upjobs, retenties en herstelprioriteiten.</w:t>
      </w:r>
    </w:p>
    <w:p>
      <w:pPr>
        <w:numPr>
          <w:ilvl w:val="0"/>
          <w:numId w:val="29"/>
        </w:numPr>
        <w:spacing w:lineRule="auto"/>
      </w:pPr>
      <w:r>
        <w:rPr/>
        <w:t xml:space="preserve">Huidige SLA’s/rapportages laatste 6–12 maanden.</w:t>
      </w:r>
    </w:p>
    <w:p>
      <w:pPr>
        <w:numPr>
          <w:ilvl w:val="0"/>
          <w:numId w:val="29"/>
        </w:numPr>
        <w:spacing w:lineRule="auto"/>
      </w:pPr>
      <w:r>
        <w:rPr/>
        <w:t xml:space="preserve">Beveiligingsincidenthistorie en lessons learned.</w:t>
      </w:r>
    </w:p>
    <w:p>
      <w:pPr>
        <w:numPr>
          <w:ilvl w:val="0"/>
          <w:numId w:val="29"/>
        </w:numPr>
        <w:spacing w:lineRule="auto"/>
      </w:pPr>
      <w:r>
        <w:rPr/>
        <w:t xml:space="preserve">Locaties voor eventuele onsite support en beveiligde toegangsinstructies.</w:t>
      </w:r>
    </w:p>
    <w:p>
      <w:pPr>
        <w:pStyle w:val="Heading2"/>
        <w:spacing w:lineRule="auto"/>
      </w:pPr>
      <w:r>
        <w:rPr/>
        <w:t xml:space="preserve">Conclusie / Meerwaarde</w:t>
      </w:r>
    </w:p>
    <w:p>
      <w:pPr>
        <w:spacing w:lineRule="auto"/>
      </w:pPr>
      <w:r>
        <w:rPr/>
        <w:t xml:space="preserve">Onze aanpak borgt meetbare prestaties via PDCA, een sluitende KPI/SLA-set en aantoonbare risicoreductie. We koppelen ieder W-xx aan KPI’s en beheersmaatregelen, leveren bewijslast per bijlage en rapporteren transparant op frequenties die aansluiten bij de opdrachtgever. Daarmee maximaliseren we BPKV-scores, reduceren faalkosten en versnellen oplevering.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EMVI / Plan van Aanpak</dc:title>
  <dc:subject/>
  <dc:creator>html-to-docx</dc:creator>
  <cp:keywords>html-to-docx</cp:keywords>
  <dc:description/>
  <cp:lastModifiedBy>html-to-docx</cp:lastModifiedBy>
  <cp:revision>1</cp:revision>
  <dcterms:created xsi:type="dcterms:W3CDTF">2025-12-08T05:33:59.376Z</dcterms:created>
  <dcterms:modified xsi:type="dcterms:W3CDTF">2025-12-08T05:33:59.376Z</dcterms:modified>
</cp:coreProperties>
</file>