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 / SLA Dashboard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KPI/SLA Dashboard — Raamovereenkomst Catering- en Horecadiensten voor Gemeente Middenstad (ICT-beheer)</w:t>
      </w:r>
    </w:p>
    <w:p>
      <w:pPr>
        <w:spacing w:lineRule="auto"/>
      </w:pPr>
      <w:r>
        <w:rPr/>
        <w:t xml:space="preserve">Context en scope</w:t>
      </w:r>
    </w:p>
    <w:p>
      <w:pPr>
        <w:numPr>
          <w:ilvl w:val="0"/>
          <w:numId w:val="1"/>
        </w:numPr>
        <w:spacing w:lineRule="auto"/>
      </w:pPr>
      <w:r>
        <w:rPr/>
        <w:t xml:space="preserve">Opdrachtnemer: Digital Ease B.V. (ISO 27001, ISO 9001, NEN 7510). 24/7 NOC en servicedesk, EU-only datalocatie. Tools: TOPdesk Cloud (EU, NL), Zabbix + Grafana (monitoring, NL), Veeam (back-up, NL), Wazuh SIEM (NL), Microsoft Defender for Endpoint (EU Data Boundary), Intune/WSUS (patching), Greenbone/OpenVAS (vuln. scanning, NL).</w:t>
      </w:r>
    </w:p>
    <w:p>
      <w:pPr>
        <w:numPr>
          <w:ilvl w:val="0"/>
          <w:numId w:val="1"/>
        </w:numPr>
        <w:spacing w:lineRule="auto"/>
      </w:pPr>
      <w:r>
        <w:rPr/>
        <w:t xml:space="preserve">Kritieke diensten (indicatief): Identity (Microsoft Entra ID), Microsoft 365, firewall/VPN, internetkoppelingen, virtualisatiecluster, fileservices, core-switching. P1 = zware verstoring/uitval kritieke dienst of beveiligingsincident; P2 = aanzienlijke verstoring met werkbare work-around; P3 = standaard incident/verzoek. Geplande onderhoudsvensters vallen buiten beschikbaarheid indien ≥ 2 werkdagen vooraf aangekondigd.</w:t>
      </w:r>
    </w:p>
    <w:p>
      <w:pPr>
        <w:numPr>
          <w:ilvl w:val="0"/>
          <w:numId w:val="1"/>
        </w:numPr>
        <w:spacing w:lineRule="auto"/>
      </w:pPr>
      <w:r>
        <w:rPr/>
        <w:t xml:space="preserve">Referentiekaders: W-01 t/m W-13 (afgeleid van must/KO), plus tender-SLA’s; EMVI-criteria C-01 Kwaliteit, C-02 Duurzaamheid, C-03 Risicobeheersing, C-04 Prijs.</w:t>
      </w:r>
    </w:p>
    <w:p>
      <w:pPr>
        <w:spacing w:lineRule="auto"/>
      </w:pPr>
      <w:r>
        <w:rPr/>
        <w:t xml:space="preserve">W- en C-codes</w:t>
      </w:r>
    </w:p>
    <w:p>
      <w:pPr>
        <w:numPr>
          <w:ilvl w:val="0"/>
          <w:numId w:val="2"/>
        </w:numPr>
        <w:spacing w:lineRule="auto"/>
      </w:pPr>
      <w:r>
        <w:rPr/>
        <w:t xml:space="preserve">W-01 ISO 27001; W-02 ISO 9001; W-03 24/7 bereikbaarheidsdienst; W-04 Responstijd P1 ≤ 30 min; W-05 Beschikbaarheid ≥ 99,8%/maand; W-06 Monitoring &amp; patchmanagement; W-07 ITIL servicedeskprocessen; W-08 EU dataverwerking; W-09 Escalatieprocedure; W-10 BCP; W-11 VOG-personeel; W-12 Proactieve monitoring netwerk &amp; endpoints; W-13 Ondersteuning Microsoft 365; W-14 Oplostijd P1 &lt; 4 uur (tender-SLA).</w:t>
      </w:r>
    </w:p>
    <w:p>
      <w:pPr>
        <w:numPr>
          <w:ilvl w:val="0"/>
          <w:numId w:val="2"/>
        </w:numPr>
        <w:spacing w:lineRule="auto"/>
      </w:pPr>
      <w:r>
        <w:rPr/>
        <w:t xml:space="preserve">C-01 Kwaliteit; C-02 Duurzaamheid; C-03 Risicobeheersing; C-04 Prijs.</w:t>
      </w:r>
    </w:p>
    <w:p>
      <w:pPr>
        <w:spacing w:lineRule="auto"/>
      </w:pPr>
      <w:r>
        <w:rPr/>
        <w:t xml:space="preserve">KPI/SLA-overzicht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Verantwoordelijke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W-xx/criterium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Meetbron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Beschikbaarheid kritieke systemen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99,8% per kalendermaand per dienst (excl. aangekondigd onderhoud)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Zabbix uptime checks (1-min interval), correlatie met change- en storingslog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Dreiging &lt;99,9% maand: Duty Manager (DM) binnen 15 min; &lt;99,8% bereikt: Operations Manager (OM) + opdrachtgever binnen 30 min; 2 maanden op rij: MT-review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NOC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W-05, W-12; C-01,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Responstijd 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binnen 30 min (24/7)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TOPdesk tijdstempels (aanname- en eerste-actie), telefoonlogs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Realtime; week/maandrapport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min nadert: DM direct; bij overschrijding: OM + escalatieketen klant; herhaling &gt;2x/maand: root cause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W-04, W-07, W-09; C-01,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Oplostijd 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opgelost binnen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TOPdesk doorlooptijd P1, changelog, vendor-tickets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uur open: OM + Vendor Manager; 4 uur overschrijding: MT + opdrachtgever; &gt;3 cases/maand: verbeterplan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W-14, W-07, W-09; C-01,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Responstijd 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binnen 1 uur (kantooruren) en ≥ 90% binnen 2 uur (buiten kantooruren)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TOPdesk tijdstempels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Dreiging overschrijding: Teamlead; structureel &lt; target: capaciteitsplan bij QBR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Servicedesk Teamlead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W-07; 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Oplostijd 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90% binnen 8 uur werktijd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TOPdesk doorlooptijd 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uur nadert: Teamlead; overschrijding: Service Manager; trendbreuk: problem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W-07; 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Patch compliance endpoints/servers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Kritieke patches: ≥ 95% binnen 7 dagen; maandcumulatief: ≥ 98% binnen 21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Intune/WSUS, Linux repo-rapporten, compliance dashboards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Dagelijks; week/maandrapport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Daling &gt;2% onder target: Security Officer + Change Manager; 2 weken onder target: CAB-interventie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W-01;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Proactieve monitoring dekking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98,5% van assets rapporteert in laatste 24 uur; 100% van Tier-1 in laatste 15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Zabbix agent/agentless, asset-inventaris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Realtime; weekrapport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Dekking &lt;98,5%: NOC actie &lt;4 uur; Tier-1 gap: direct 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NOC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W-12, W-06; C-01,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Security incident time-to-contain (P1-security)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90% containment ≤ 60 min na detectie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Wazuh SIEM detecties + incidenttijdlijnen, Defender for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 min nadert: Security Officer; overschrijding: OM + CISO-overleg klant; post-incident review verplicht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W-06, W-09;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Back-up succesratio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99% dagelijkse jobs succesvol; mislukte jobs 100% binnen 24 uur hersteld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Veeam joblogs, hersteltests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Dagelijks; week/maandrapport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Succesratio &lt;99%: Backup Admin &lt;2 uur; 2 dagen trend: OM + BCP-test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Administrator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W-10;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RTO-test Tier-1 workloads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van kwartaaltests haalt RTO ≤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Geplande BCP-oefeningen, herstelrapporten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Dreiging RTO &gt;3 uur: OM + leverancier(s); bij overschrijding: directielijn + verbeterplan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W-10;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Change succesratio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changes zonder rollback; emergency changes ≤ 5%/maand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ITIL CAB-rapportages, TOPdesk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Maandelijks; QBR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daling &lt;95%: CAB-actie; emergency &gt;5%: freeze op non-urgent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W-07; C-01,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EU data residency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datalocatie-incidenten; 100% logs/back-ups in EU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DPIA’s, verwerkersovereenkomsten, platformregionen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Maandelijks; QBR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Incident: direct Security Officer + FG/Privacy Officer klant; melding conform DPA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W-08, W-01;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First Contact Resolution (FCR)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72% van eindgebruikersincidenten bij 1e contact opgelost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TOPdesk categorisatie, QA-steekproef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&lt;72% twee weken op rij: extra kenniskaarten en coaching; QBR-acties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Servicedesk Teamlead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W-07; 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Klanttevredenheid (CSAT)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 ≥ 8,2/10 per maand; n≥30 responses per 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Post-ticket surveys, kwartaalenquête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Maandelijks; per 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&lt;8,2: Service Improvement Plan binnen 10 werkdagen; directielijn bij twee kwartalen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 Kwetsbaarheden (High) remediatie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High CVEs opgelost binnen 14 dagen; &gt;99% in 30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Greenbone/OpenVAS scans, change tickets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Trend &lt;95%: prioritering in CAB; 2 maanden &lt;95%: extra resources/patchwindow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W-06, W-01; 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 Microsoft 365 support (P3)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90% M365 P3-tickets opgelost binnen 2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TOPdesk, Microsoft admin portals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Dagelijks; maandrapport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&lt;90% weekgemiddelde: M365 specialist bijschakelen; maand &lt;90%: capaciteitsaanpassing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M365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W-13, W-07; 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PDCA-borging</w:t>
      </w:r>
    </w:p>
    <w:p>
      <w:pPr>
        <w:numPr>
          <w:ilvl w:val="0"/>
          <w:numId w:val="3"/>
        </w:numPr>
        <w:spacing w:lineRule="auto"/>
      </w:pPr>
      <w:r>
        <w:rPr/>
        <w:t xml:space="preserve">Plan: Jaarlijkse SLA- en risicobaseline (ISO 27001/9001), scopekritieke diensten en RTO/RPO per dienst; onderhoudskalender; DPIA/EU-datalocatiecontrole. KPI-definities en rapportagesjablonen vastgesteld met opdrachtgever.</w:t>
      </w:r>
    </w:p>
    <w:p>
      <w:pPr>
        <w:numPr>
          <w:ilvl w:val="0"/>
          <w:numId w:val="3"/>
        </w:numPr>
        <w:spacing w:lineRule="auto"/>
      </w:pPr>
      <w:r>
        <w:rPr/>
        <w:t xml:space="preserve">Do: 24/7 operatie via NOC/servicedesk; geautomatiseerde monitoring, patching en back-ups; ITIL-procesuitvoering (incident, problem, change); beveiligingsdetectie en containment.</w:t>
      </w:r>
    </w:p>
    <w:p>
      <w:pPr>
        <w:numPr>
          <w:ilvl w:val="0"/>
          <w:numId w:val="3"/>
        </w:numPr>
        <w:spacing w:lineRule="auto"/>
      </w:pPr>
      <w:r>
        <w:rPr/>
        <w:t xml:space="preserve">Check: Maandelijkse SLA-rapportage met trendanalyse en root cause analyses; kwartaal QBR met auditbevindingen, penetratietestresultaten en risicodossier; interne audits (ISO 27001/9001).</w:t>
      </w:r>
    </w:p>
    <w:p>
      <w:pPr>
        <w:numPr>
          <w:ilvl w:val="0"/>
          <w:numId w:val="3"/>
        </w:numPr>
        <w:spacing w:lineRule="auto"/>
      </w:pPr>
      <w:r>
        <w:rPr/>
        <w:t xml:space="preserve">Act: Continual Service Improvement (CSI) register met acties, eigenaar, deadline en verwachte impact; CAB-besluitvorming; lessons learned na incidenten/changes; herijking KPI-targets 2x per jaar in overleg.</w:t>
      </w:r>
    </w:p>
    <w:p>
      <w:pPr>
        <w:spacing w:lineRule="auto"/>
      </w:pPr>
      <w:r>
        <w:rPr/>
        <w:t xml:space="preserve">Escalatiematrix (aanvullend op tabel)</w:t>
      </w:r>
    </w:p>
    <w:p>
      <w:pPr>
        <w:numPr>
          <w:ilvl w:val="0"/>
          <w:numId w:val="4"/>
        </w:numPr>
        <w:spacing w:lineRule="auto"/>
      </w:pPr>
      <w:r>
        <w:rPr/>
        <w:t xml:space="preserve">Niveau 1: Servicedesk/NOC 24/7 (telefonisch en TOPdesk).</w:t>
      </w:r>
    </w:p>
    <w:p>
      <w:pPr>
        <w:numPr>
          <w:ilvl w:val="0"/>
          <w:numId w:val="4"/>
        </w:numPr>
        <w:spacing w:lineRule="auto"/>
      </w:pPr>
      <w:r>
        <w:rPr/>
        <w:t xml:space="preserve">Niveau 2: Duty Manager (direct), Teamlead functioneel.</w:t>
      </w:r>
    </w:p>
    <w:p>
      <w:pPr>
        <w:numPr>
          <w:ilvl w:val="0"/>
          <w:numId w:val="4"/>
        </w:numPr>
        <w:spacing w:lineRule="auto"/>
      </w:pPr>
      <w:r>
        <w:rPr/>
        <w:t xml:space="preserve">Niveau 3: Operations Manager/Change Manager/Security Officer (afhankelijk van issue).</w:t>
      </w:r>
    </w:p>
    <w:p>
      <w:pPr>
        <w:numPr>
          <w:ilvl w:val="0"/>
          <w:numId w:val="4"/>
        </w:numPr>
        <w:spacing w:lineRule="auto"/>
      </w:pPr>
      <w:r>
        <w:rPr/>
        <w:t xml:space="preserve">Niveau 4: Directielijn Digital Ease + opdrachtgever (bij herhaalde overschrijdingen of materialiteit).</w:t>
      </w:r>
    </w:p>
    <w:p>
      <w:pPr>
        <w:numPr>
          <w:ilvl w:val="0"/>
          <w:numId w:val="4"/>
        </w:numPr>
        <w:spacing w:lineRule="auto"/>
      </w:pPr>
      <w:r>
        <w:rPr/>
        <w:t xml:space="preserve">Communicatie: binnen 30 min bij P1 updates; status iedere 60 min totdat opgelost; post-incident rapport binnen 5 werkdagen.</w:t>
      </w:r>
    </w:p>
    <w:p>
      <w:pPr>
        <w:spacing w:lineRule="auto"/>
      </w:pPr>
      <w:r>
        <w:rPr/>
        <w:t xml:space="preserve">Risico- en bewijsmatrix (kruisverbanden)</w:t>
      </w:r>
    </w:p>
    <w:p>
      <w:pPr>
        <w:numPr>
          <w:ilvl w:val="0"/>
          <w:numId w:val="5"/>
        </w:numPr>
        <w:spacing w:lineRule="auto"/>
      </w:pPr>
      <w:r>
        <w:rPr/>
        <w:t xml:space="preserve">R-01 Onbeschikbaarheid kritieke systemen → KPI 1; Bewijs: E-02 Uptime-rapporten, E-12 SLA-rapporten.</w:t>
      </w:r>
    </w:p>
    <w:p>
      <w:pPr>
        <w:numPr>
          <w:ilvl w:val="0"/>
          <w:numId w:val="5"/>
        </w:numPr>
        <w:spacing w:lineRule="auto"/>
      </w:pPr>
      <w:r>
        <w:rPr/>
        <w:t xml:space="preserve">R-02 Trage P1-respons → KPI 2; Bewijs: E-03 TOPdesk-export, E-13 telefonielogs.</w:t>
      </w:r>
    </w:p>
    <w:p>
      <w:pPr>
        <w:numPr>
          <w:ilvl w:val="0"/>
          <w:numId w:val="5"/>
        </w:numPr>
        <w:spacing w:lineRule="auto"/>
      </w:pPr>
      <w:r>
        <w:rPr/>
        <w:t xml:space="preserve">R-03 Te lange P1-oplossing → KPI 3; Bewijs: E-03, E-14 RCA’s.</w:t>
      </w:r>
    </w:p>
    <w:p>
      <w:pPr>
        <w:numPr>
          <w:ilvl w:val="0"/>
          <w:numId w:val="5"/>
        </w:numPr>
        <w:spacing w:lineRule="auto"/>
      </w:pPr>
      <w:r>
        <w:rPr/>
        <w:t xml:space="preserve">R-04 Capaciteits- en wachtrijopbouw P2 → KPI 4–5; Bewijs: E-03 wachtrijstatistieken.</w:t>
      </w:r>
    </w:p>
    <w:p>
      <w:pPr>
        <w:numPr>
          <w:ilvl w:val="0"/>
          <w:numId w:val="5"/>
        </w:numPr>
        <w:spacing w:lineRule="auto"/>
      </w:pPr>
      <w:r>
        <w:rPr/>
        <w:t xml:space="preserve">R-05 Exploits door ontbrekende patches → KPI 6, 15; Bewijs: E-05 patchcompliance-rapporten, E-06 vuln-scanrapporten.</w:t>
      </w:r>
    </w:p>
    <w:p>
      <w:pPr>
        <w:numPr>
          <w:ilvl w:val="0"/>
          <w:numId w:val="5"/>
        </w:numPr>
        <w:spacing w:lineRule="auto"/>
      </w:pPr>
      <w:r>
        <w:rPr/>
        <w:t xml:space="preserve">R-06 Onvoldoende monitoringdekking → KPI 7; Bewijs: E-02 monitoringinventaris.</w:t>
      </w:r>
    </w:p>
    <w:p>
      <w:pPr>
        <w:numPr>
          <w:ilvl w:val="0"/>
          <w:numId w:val="5"/>
        </w:numPr>
        <w:spacing w:lineRule="auto"/>
      </w:pPr>
      <w:r>
        <w:rPr/>
        <w:t xml:space="preserve">R-07 Securitybreach escalatie → KPI 8; Bewijs: E-07 SIEM-incidentdossiers, E-14 post-incident.</w:t>
      </w:r>
    </w:p>
    <w:p>
      <w:pPr>
        <w:numPr>
          <w:ilvl w:val="0"/>
          <w:numId w:val="5"/>
        </w:numPr>
        <w:spacing w:lineRule="auto"/>
      </w:pPr>
      <w:r>
        <w:rPr/>
        <w:t xml:space="preserve">R-08 Dataverlies door back-up falen → KPI 9–10; Bewijs: E-08 back-up/herstelrapporten, E-15 BCP-testverslagen.</w:t>
      </w:r>
    </w:p>
    <w:p>
      <w:pPr>
        <w:numPr>
          <w:ilvl w:val="0"/>
          <w:numId w:val="5"/>
        </w:numPr>
        <w:spacing w:lineRule="auto"/>
      </w:pPr>
      <w:r>
        <w:rPr/>
        <w:t xml:space="preserve">R-09 EU data residency schending → KPI 12; Bewijs: E-09 DPIA’s, E-10 verwerkersovereenkomsten, E-11 regio-config screenshots.</w:t>
      </w:r>
    </w:p>
    <w:p>
      <w:pPr>
        <w:numPr>
          <w:ilvl w:val="0"/>
          <w:numId w:val="5"/>
        </w:numPr>
        <w:spacing w:lineRule="auto"/>
      </w:pPr>
      <w:r>
        <w:rPr/>
        <w:t xml:space="preserve">R-10 Procesdiscipline ITIL → KPI 11; Bewijs: E-16 CAB-notulen, change metrics.</w:t>
      </w:r>
    </w:p>
    <w:p>
      <w:pPr>
        <w:numPr>
          <w:ilvl w:val="0"/>
          <w:numId w:val="5"/>
        </w:numPr>
        <w:spacing w:lineRule="auto"/>
      </w:pPr>
      <w:r>
        <w:rPr/>
        <w:t xml:space="preserve">R-11 Service-ervaring eindgebruiker → KPI 13–14; Bewijs: E-17 CSAT-export, QA-steekproeven.</w:t>
      </w:r>
    </w:p>
    <w:p>
      <w:pPr>
        <w:numPr>
          <w:ilvl w:val="0"/>
          <w:numId w:val="5"/>
        </w:numPr>
        <w:spacing w:lineRule="auto"/>
      </w:pPr>
      <w:r>
        <w:rPr/>
        <w:t xml:space="preserve">R-12 M365 continuïteit → KPI 16; Bewijs: E-03 ticketdata, E-18 Microsoft admin audit logs.</w:t>
      </w:r>
    </w:p>
    <w:p>
      <w:pPr>
        <w:spacing w:lineRule="auto"/>
      </w:pPr>
      <w:r>
        <w:rPr/>
        <w:t xml:space="preserve">Evidence (E) bronnen en audittrail</w:t>
      </w:r>
    </w:p>
    <w:p>
      <w:pPr>
        <w:numPr>
          <w:ilvl w:val="0"/>
          <w:numId w:val="6"/>
        </w:numPr>
        <w:spacing w:lineRule="auto"/>
      </w:pPr>
      <w:r>
        <w:rPr/>
        <w:t xml:space="preserve">E-02 Zabbix/Grafana uptime- en dekkingsrapporten (NL-hosted).</w:t>
      </w:r>
    </w:p>
    <w:p>
      <w:pPr>
        <w:numPr>
          <w:ilvl w:val="0"/>
          <w:numId w:val="6"/>
        </w:numPr>
        <w:spacing w:lineRule="auto"/>
      </w:pPr>
      <w:r>
        <w:rPr/>
        <w:t xml:space="preserve">E-03 TOPdesk Cloud exports (incident, change, SLA).</w:t>
      </w:r>
    </w:p>
    <w:p>
      <w:pPr>
        <w:numPr>
          <w:ilvl w:val="0"/>
          <w:numId w:val="6"/>
        </w:numPr>
        <w:spacing w:lineRule="auto"/>
      </w:pPr>
      <w:r>
        <w:rPr/>
        <w:t xml:space="preserve">E-05 Intune/WSUS compliance rapporten; Linux repo logs.</w:t>
      </w:r>
    </w:p>
    <w:p>
      <w:pPr>
        <w:numPr>
          <w:ilvl w:val="0"/>
          <w:numId w:val="6"/>
        </w:numPr>
        <w:spacing w:lineRule="auto"/>
      </w:pPr>
      <w:r>
        <w:rPr/>
        <w:t xml:space="preserve">E-06 Greenbone/OpenVAS maandrapporten.</w:t>
      </w:r>
    </w:p>
    <w:p>
      <w:pPr>
        <w:numPr>
          <w:ilvl w:val="0"/>
          <w:numId w:val="6"/>
        </w:numPr>
        <w:spacing w:lineRule="auto"/>
      </w:pPr>
      <w:r>
        <w:rPr/>
        <w:t xml:space="preserve">E-07 Wazuh SIEM incidentdossiers en tijdlijnen.</w:t>
      </w:r>
    </w:p>
    <w:p>
      <w:pPr>
        <w:numPr>
          <w:ilvl w:val="0"/>
          <w:numId w:val="6"/>
        </w:numPr>
        <w:spacing w:lineRule="auto"/>
      </w:pPr>
      <w:r>
        <w:rPr/>
        <w:t xml:space="preserve">E-08 Veeam back-up en herstelrapportage.</w:t>
      </w:r>
    </w:p>
    <w:p>
      <w:pPr>
        <w:numPr>
          <w:ilvl w:val="0"/>
          <w:numId w:val="6"/>
        </w:numPr>
        <w:spacing w:lineRule="auto"/>
      </w:pPr>
      <w:r>
        <w:rPr/>
        <w:t xml:space="preserve">E-09 DPIA’s en dataflow-diagrammen.</w:t>
      </w:r>
    </w:p>
    <w:p>
      <w:pPr>
        <w:numPr>
          <w:ilvl w:val="0"/>
          <w:numId w:val="6"/>
        </w:numPr>
        <w:spacing w:lineRule="auto"/>
      </w:pPr>
      <w:r>
        <w:rPr/>
        <w:t xml:space="preserve">E-10 Verwerkersovereenkomsten en datalocatie-addenda.</w:t>
      </w:r>
    </w:p>
    <w:p>
      <w:pPr>
        <w:numPr>
          <w:ilvl w:val="0"/>
          <w:numId w:val="6"/>
        </w:numPr>
        <w:spacing w:lineRule="auto"/>
      </w:pPr>
      <w:r>
        <w:rPr/>
        <w:t xml:space="preserve">E-11 Platformregio-instellingen (EU) en audit-screenshots.</w:t>
      </w:r>
    </w:p>
    <w:p>
      <w:pPr>
        <w:numPr>
          <w:ilvl w:val="0"/>
          <w:numId w:val="6"/>
        </w:numPr>
        <w:spacing w:lineRule="auto"/>
      </w:pPr>
      <w:r>
        <w:rPr/>
        <w:t xml:space="preserve">E-12 Maandelijkse SLA-rapporten (PDF) met ondertekening Service Manager.</w:t>
      </w:r>
    </w:p>
    <w:p>
      <w:pPr>
        <w:numPr>
          <w:ilvl w:val="0"/>
          <w:numId w:val="6"/>
        </w:numPr>
        <w:spacing w:lineRule="auto"/>
      </w:pPr>
      <w:r>
        <w:rPr/>
        <w:t xml:space="preserve">E-14 Root Cause Analyses (RCA) conform ISO 9001.</w:t>
      </w:r>
    </w:p>
    <w:p>
      <w:pPr>
        <w:numPr>
          <w:ilvl w:val="0"/>
          <w:numId w:val="6"/>
        </w:numPr>
        <w:spacing w:lineRule="auto"/>
      </w:pPr>
      <w:r>
        <w:rPr/>
        <w:t xml:space="preserve">E-15 BCP/DR-testverslagen en actiepunten.</w:t>
      </w:r>
    </w:p>
    <w:p>
      <w:pPr>
        <w:numPr>
          <w:ilvl w:val="0"/>
          <w:numId w:val="6"/>
        </w:numPr>
        <w:spacing w:lineRule="auto"/>
      </w:pPr>
      <w:r>
        <w:rPr/>
        <w:t xml:space="preserve">E-16 CAB-notulen en change kalenders.</w:t>
      </w:r>
    </w:p>
    <w:p>
      <w:pPr>
        <w:numPr>
          <w:ilvl w:val="0"/>
          <w:numId w:val="6"/>
        </w:numPr>
        <w:spacing w:lineRule="auto"/>
      </w:pPr>
      <w:r>
        <w:rPr/>
        <w:t xml:space="preserve">E-17 CSAT-surveys en response overzichten.</w:t>
      </w:r>
    </w:p>
    <w:p>
      <w:pPr>
        <w:numPr>
          <w:ilvl w:val="0"/>
          <w:numId w:val="6"/>
        </w:numPr>
        <w:spacing w:lineRule="auto"/>
      </w:pPr>
      <w:r>
        <w:rPr/>
        <w:t xml:space="preserve">E-18 Microsoft 365 audit logs en Admin Center rapportages.</w:t>
      </w:r>
    </w:p>
    <w:p>
      <w:pPr>
        <w:spacing w:lineRule="auto"/>
      </w:pPr>
      <w:r>
        <w:rPr/>
        <w:t xml:space="preserve">Rapportage en governance</w:t>
      </w:r>
    </w:p>
    <w:p>
      <w:pPr>
        <w:numPr>
          <w:ilvl w:val="0"/>
          <w:numId w:val="7"/>
        </w:numPr>
        <w:spacing w:lineRule="auto"/>
      </w:pPr>
      <w:r>
        <w:rPr/>
        <w:t xml:space="preserve">Realtime dashboards (Grafana, TOPdesk SLA) voor opdrachtgever.</w:t>
      </w:r>
    </w:p>
    <w:p>
      <w:pPr>
        <w:numPr>
          <w:ilvl w:val="0"/>
          <w:numId w:val="7"/>
        </w:numPr>
        <w:spacing w:lineRule="auto"/>
      </w:pPr>
      <w:r>
        <w:rPr/>
        <w:t xml:space="preserve">Maandelijkse SLA-meeting (60 min): KPI’s, incidenten, verbeteracties.</w:t>
      </w:r>
    </w:p>
    <w:p>
      <w:pPr>
        <w:numPr>
          <w:ilvl w:val="0"/>
          <w:numId w:val="7"/>
        </w:numPr>
        <w:spacing w:lineRule="auto"/>
      </w:pPr>
      <w:r>
        <w:rPr/>
        <w:t xml:space="preserve">Kwartaal QBR (120 min): trends, risico’s, roadmap, auditresultaten, duurzaamheid (energieverbruik datacenter en remote-first werkmethodiek).</w:t>
      </w:r>
    </w:p>
    <w:p>
      <w:pPr>
        <w:numPr>
          <w:ilvl w:val="0"/>
          <w:numId w:val="7"/>
        </w:numPr>
        <w:spacing w:lineRule="auto"/>
      </w:pPr>
      <w:r>
        <w:rPr/>
        <w:t xml:space="preserve">Contractuele boete-/servicekredietregeling optioneel te koppelen aan KPI 1–3, 6, 8, 9, 12 (af te stemmen met opdrachtgever).</w:t>
      </w:r>
    </w:p>
    <w:p>
      <w:pPr>
        <w:spacing w:lineRule="auto"/>
      </w:pPr>
      <w:r>
        <w:rPr/>
        <w:t xml:space="preserve">Conformiteit met must/KO</w:t>
      </w:r>
    </w:p>
    <w:p>
      <w:pPr>
        <w:numPr>
          <w:ilvl w:val="0"/>
          <w:numId w:val="8"/>
        </w:numPr>
        <w:spacing w:lineRule="auto"/>
      </w:pPr>
      <w:r>
        <w:rPr/>
        <w:t xml:space="preserve">KO: ISO 27001 (W-01) en ISO 9001 (W-02) geborgd; 24/7 bereikbaarheidsdienst (W-03) via NOC.</w:t>
      </w:r>
    </w:p>
    <w:p>
      <w:pPr>
        <w:numPr>
          <w:ilvl w:val="0"/>
          <w:numId w:val="8"/>
        </w:numPr>
        <w:spacing w:lineRule="auto"/>
      </w:pPr>
      <w:r>
        <w:rPr/>
        <w:t xml:space="preserve">Musts: P1-responstijd (W-04), beschikbaarheid (W-05), monitoring/patching (W-06), ITIL servicedesk (W-07), EU data (W-08), escalatieprocedure (W-09), BCP (W-10), VOG (W-11), proactieve monitoring (W-12), M365 support (W-13). Tender-SLA oplostijd P1 (W-14).</w:t>
      </w:r>
    </w:p>
    <w:p>
      <w:pPr>
        <w:spacing w:lineRule="auto"/>
      </w:pPr>
      <w:r>
        <w:rPr/>
        <w:t xml:space="preserve">Verbetercyclus (SMART + PDCA)</w:t>
      </w:r>
    </w:p>
    <w:p>
      <w:pPr>
        <w:numPr>
          <w:ilvl w:val="0"/>
          <w:numId w:val="9"/>
        </w:numPr>
        <w:spacing w:lineRule="auto"/>
      </w:pPr>
      <w:r>
        <w:rPr/>
        <w:t xml:space="preserve">Elk KPI-doel is specifiek, meetbaar (tools/logs), acceptabel (afgestemd in QBR), realistisch (marktconform), tijdgebonden (dag/week/maand/kwartaal). Afwijkingen leiden tot een RCA en een CSI-actie met eigenaar, deadline en hercontrole binnen 30 dagen (Check/Act).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0"/>
        </w:numPr>
        <w:spacing w:lineRule="auto"/>
      </w:pPr>
      <w:r>
        <w:rPr/>
        <w:t xml:space="preserve">Lijst en prioritering van kritieke systemen/diensten (Tier-1/Tier-2) met onderhoudsvensters.</w:t>
      </w:r>
    </w:p>
    <w:p>
      <w:pPr>
        <w:numPr>
          <w:ilvl w:val="0"/>
          <w:numId w:val="10"/>
        </w:numPr>
        <w:spacing w:lineRule="auto"/>
      </w:pPr>
      <w:r>
        <w:rPr/>
        <w:t xml:space="preserve">Contact- en escalatielijst opdrachtgever (operationeel, management, privacy/security).</w:t>
      </w:r>
    </w:p>
    <w:p>
      <w:pPr>
        <w:numPr>
          <w:ilvl w:val="0"/>
          <w:numId w:val="10"/>
        </w:numPr>
        <w:spacing w:lineRule="auto"/>
      </w:pPr>
      <w:r>
        <w:rPr/>
        <w:t xml:space="preserve">Overzicht in-scope assets (servers, endpoints, netwerk), inclusief beheergrenzen en leverancierscontracten.</w:t>
      </w:r>
    </w:p>
    <w:p>
      <w:pPr>
        <w:numPr>
          <w:ilvl w:val="0"/>
          <w:numId w:val="10"/>
        </w:numPr>
        <w:spacing w:lineRule="auto"/>
      </w:pPr>
      <w:r>
        <w:rPr/>
        <w:t xml:space="preserve">Toegang tot bestaande ticket- en monitoringdata (indien migratie) en gewenste KPI-rapportageformaten.</w:t>
      </w:r>
    </w:p>
    <w:p>
      <w:pPr>
        <w:numPr>
          <w:ilvl w:val="0"/>
          <w:numId w:val="10"/>
        </w:numPr>
        <w:spacing w:lineRule="auto"/>
      </w:pPr>
      <w:r>
        <w:rPr/>
        <w:t xml:space="preserve">Bevestiging dat EU-only datalocatie vereist blijft en relevante DPA’s/regionale instellingen (Microsoft 365 EU Data Boundary).</w:t>
      </w:r>
    </w:p>
    <w:p>
      <w:pPr>
        <w:numPr>
          <w:ilvl w:val="0"/>
          <w:numId w:val="10"/>
        </w:numPr>
        <w:spacing w:lineRule="auto"/>
      </w:pPr>
      <w:r>
        <w:rPr/>
        <w:t xml:space="preserve">Beschikbare change freeze perioden (bijv. verkiezingen/examens) en compliance-eisen gemeente (AVG, BIO).</w:t>
      </w:r>
    </w:p>
    <w:p>
      <w:pPr>
        <w:numPr>
          <w:ilvl w:val="0"/>
          <w:numId w:val="10"/>
        </w:numPr>
        <w:spacing w:lineRule="auto"/>
      </w:pPr>
      <w:r>
        <w:rPr/>
        <w:t xml:space="preserve">Afspraken over servicekredieten/boetes bij KPI-overschrijding en acceptatie van onderhoudsvensters.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/ SLA Dashboard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