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headerReference r:id="rId6" w:type="default"/>
      <w:footerReference r:id="rId7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Planning (ASCII Gantt + Toelichting)</w:t>
      </w:r>
    </w:p>
    <w:p>
      <w:pPr>
        <w:pStyle w:val="Heading2"/>
        <w:spacing w:lineRule="auto"/>
      </w:pPr>
      <w:r>
        <w:rPr/>
        <w:t xml:space="preserve">Digital Ease B.V. — Raamovereenkomst Catering- en Horecadiensten voor Gemeente Middenstad</w:t>
      </w:r>
    </w:p>
    <w:p>
      <w:pPr>
        <w:spacing w:lineRule="auto"/>
      </w:pPr>
      <w:r>
        <w:rPr/>
        <w:t xml:space="preserve">     08 december 2025</w:t>
      </w:r>
    </w:p>
    <w:p>
      <w:pPr>
        <w:spacing w:lineRule="auto"/>
      </w:pPr>
      <w:r>
        <w:rPr/>
      </w:r>
    </w:p>
    <w:p>
      <w:pPr>
        <w:spacing w:lineRule="auto"/>
      </w:pPr>
      <w:r>
        <w:rPr/>
        <w:t xml:space="preserve">     Automatisch gegenereerd door </w:t>
      </w:r>
    </w:p>
    <w:p>
      <w:pPr>
        <w:spacing w:lineRule="auto"/>
      </w:pPr>
      <w:r>
        <w:rPr>
          <w:b/>
        </w:rPr>
        <w:t xml:space="preserve">TenderAI</w:t>
      </w:r>
    </w:p>
    <w:p>
      <w:r>
        <w:br w:type="page"/>
      </w:r>
    </w:p>
    <w:p>
      <w:pPr>
        <w:spacing w:lineRule="auto"/>
      </w:pPr>
      <w:r>
        <w:rPr/>
        <w:t xml:space="preserve">Planning — raamovereenkomstimplementatie (PDCA, SMART, gates en mijlpalen)</w:t>
      </w:r>
    </w:p>
    <w:p>
      <w:pPr>
        <w:spacing w:lineRule="auto"/>
      </w:pPr>
      <w:r>
        <w:rPr/>
        <w:t xml:space="preserve">ASCII-Gantt (fasen, start/eind, gate-reviews, mijlpalen) Tijdas: | Dec'25 |        Jan'26        |       Feb'26       |         Mar'26          |        Apr'26        |   May'26  |  Jun'26  | Weeks:  | W50 W51 W52 | W01 W02 W03 W04 | W05 W06 W07 W08 | W09 W10 W11 W12 W13 | W14 W15 W16 W17 W18 | W19 W20 | W21 W22 |</w:t>
      </w:r>
    </w:p>
    <w:p>
      <w:pPr>
        <w:spacing w:lineRule="auto"/>
      </w:pPr>
      <w:r>
        <w:rPr/>
        <w:t xml:space="preserve">G0 Go/No-Go 09-12-2025 W-01 Voorb. &amp; EMVI-dossier (PLAN)      [09-12-2025 — 17-01-2026]          [====Dec====][========Jan (tot 17)========]                                    ▲ G1 Indienen 20-01-2026</w:t>
      </w:r>
    </w:p>
    <w:p>
      <w:pPr>
        <w:spacing w:lineRule="auto"/>
      </w:pPr>
      <w:r>
        <w:rPr/>
        <w:t xml:space="preserve">W-02 Beoordeling &amp; Clarificaties     [21-01-2026 — 20-02-2026]                                         [====Jan/Feb====]                                                 ▲ G2 Voorl. gunning 21-02-2026</w:t>
      </w:r>
    </w:p>
    <w:p>
      <w:pPr>
        <w:spacing w:lineRule="auto"/>
      </w:pPr>
      <w:r>
        <w:rPr/>
        <w:t xml:space="preserve">W-03 Contractering &amp; Mobilisatie (DO) [24-02-2026 — 07-03-2026]                                                    [==Mar==]                                                         ▲ G3 Contract getekend 07-03-2026</w:t>
      </w:r>
    </w:p>
    <w:p>
      <w:pPr>
        <w:spacing w:lineRule="auto"/>
      </w:pPr>
      <w:r>
        <w:rPr/>
        <w:t xml:space="preserve">W-04 Discovery &amp; High-Level Design (PLAN/DO) [10-03-2026 — 24-03-2026]                                                            [==Mar==]</w:t>
      </w:r>
    </w:p>
    <w:p>
      <w:pPr>
        <w:spacing w:lineRule="auto"/>
      </w:pPr>
      <w:r>
        <w:rPr/>
        <w:t xml:space="preserve">W-05 Monitoring, Security hardening, ITIL (DO) [25-03-2026 — 05-04-2026]                                                                 [=Mar/Apr=]                                                                    ▲ G4 SRR 05-04-2026</w:t>
      </w:r>
    </w:p>
    <w:p>
      <w:pPr>
        <w:spacing w:lineRule="auto"/>
      </w:pPr>
      <w:r>
        <w:rPr/>
        <w:t xml:space="preserve">W-06 Pilot &amp; Hypercare (CHECK)        [06-04-2026 — 30-04-2026]                                                                      [====Apr====]                                                                             ▲ G5 Hypercare-exit 30-04-2026</w:t>
      </w:r>
    </w:p>
    <w:p>
      <w:pPr>
        <w:spacing w:lineRule="auto"/>
      </w:pPr>
      <w:r>
        <w:rPr/>
        <w:t xml:space="preserve">W-07 Run &amp; Continue Verbeteren (ACT)  [01-05-2026 — 30-06-2026]                                                                                  [==May/Jun==]                                                                                           ▲ G6 QBR1 30-06-2026</w:t>
      </w:r>
    </w:p>
    <w:p>
      <w:pPr>
        <w:spacing w:lineRule="auto"/>
      </w:pPr>
      <w:r>
        <w:rPr/>
        <w:t xml:space="preserve">Belangrijkste mijlpalen:</w:t>
      </w:r>
    </w:p>
    <w:p>
      <w:pPr>
        <w:numPr>
          <w:ilvl w:val="0"/>
          <w:numId w:val="1"/>
        </w:numPr>
        <w:spacing w:lineRule="auto"/>
      </w:pPr>
      <w:r>
        <w:rPr/>
        <w:t xml:space="preserve">G0 Go/No-Go bid: 09-12-2025</w:t>
      </w:r>
    </w:p>
    <w:p>
      <w:pPr>
        <w:numPr>
          <w:ilvl w:val="0"/>
          <w:numId w:val="1"/>
        </w:numPr>
        <w:spacing w:lineRule="auto"/>
      </w:pPr>
      <w:r>
        <w:rPr/>
        <w:t xml:space="preserve">G1 Inschrijving EMVI ingediend: 20-01-2026 (deadline aanbesteding)</w:t>
      </w:r>
    </w:p>
    <w:p>
      <w:pPr>
        <w:numPr>
          <w:ilvl w:val="0"/>
          <w:numId w:val="1"/>
        </w:numPr>
        <w:spacing w:lineRule="auto"/>
      </w:pPr>
      <w:r>
        <w:rPr/>
        <w:t xml:space="preserve">G2 Voorlopige gunning: 21-02-2026</w:t>
      </w:r>
    </w:p>
    <w:p>
      <w:pPr>
        <w:numPr>
          <w:ilvl w:val="0"/>
          <w:numId w:val="1"/>
        </w:numPr>
        <w:spacing w:lineRule="auto"/>
      </w:pPr>
      <w:r>
        <w:rPr/>
        <w:t xml:space="preserve">G3 Contract getekend: 07-03-2026</w:t>
      </w:r>
    </w:p>
    <w:p>
      <w:pPr>
        <w:numPr>
          <w:ilvl w:val="0"/>
          <w:numId w:val="1"/>
        </w:numPr>
        <w:spacing w:lineRule="auto"/>
      </w:pPr>
      <w:r>
        <w:rPr/>
        <w:t xml:space="preserve">G4 Service Readiness Review (SRR) akkoord: 05-04-2026</w:t>
      </w:r>
    </w:p>
    <w:p>
      <w:pPr>
        <w:numPr>
          <w:ilvl w:val="0"/>
          <w:numId w:val="1"/>
        </w:numPr>
        <w:spacing w:lineRule="auto"/>
      </w:pPr>
      <w:r>
        <w:rPr/>
        <w:t xml:space="preserve">G5 Hypercare-exit: 30-04-2026</w:t>
      </w:r>
    </w:p>
    <w:p>
      <w:pPr>
        <w:numPr>
          <w:ilvl w:val="0"/>
          <w:numId w:val="1"/>
        </w:numPr>
        <w:spacing w:lineRule="auto"/>
      </w:pPr>
      <w:r>
        <w:rPr/>
        <w:t xml:space="preserve">G6 QBR1 (kwartaalreview) en PDCA-acties vastgesteld: 30-06-2026</w:t>
      </w:r>
    </w:p>
    <w:p>
      <w:pPr>
        <w:spacing w:lineRule="auto"/>
      </w:pPr>
      <w:r>
        <w:rPr/>
        <w:t xml:space="preserve">W-xx werkpakketten (SMART, PDCA, KPI-koppeling, risico en bewijs)</w:t>
      </w:r>
    </w:p>
    <w:p>
      <w:pPr>
        <w:numPr>
          <w:ilvl w:val="0"/>
          <w:numId w:val="2"/>
        </w:numPr>
        <w:spacing w:lineRule="auto"/>
      </w:pPr>
      <w:r>
        <w:rPr/>
        <w:t xml:space="preserve">W-01 Voorbereiding &amp; EMVI-dossier (PLAN) KPI: 100% compleet PvA, Risicodossier en KPI-overzicht ingediend vóór 20-01-2026; 0 KO-afwijkingen; interne kwaliteitsscore ≥90%. Risico: Onvolledige inschrijving → Mitigatie: 2-reviewcyclus, KO-checklist, ISO-verklaringen bijsluiten. Bewijs: Ingediend PvA/Risicodossier/KPI-overzicht; certificaten ISO 27001/9001; 24/7 bereikbaarheidsplan. Relevante eisen: KO ISO 27001/9001; 24/7 bereikbaarheid; musts (BCP, ITIL, EU-data, escalatieprocedure).</w:t>
      </w:r>
    </w:p>
    <w:p>
      <w:pPr>
        <w:numPr>
          <w:ilvl w:val="0"/>
          <w:numId w:val="2"/>
        </w:numPr>
        <w:spacing w:lineRule="auto"/>
      </w:pPr>
      <w:r>
        <w:rPr/>
        <w:t xml:space="preserve">W-02 Beoordeling &amp; Clarificaties (PLAN/DO) KPI: Alle Nota van Inlichtingen-vragen beantwoord ≤ 2 k.d. na ontvangst; 100% traceability van antwoorden. Risico: Onzekerheden in scope → Mitigatie: RACI met opdrachtgever, gestructureerde vraaglog. Bewijs: Clarificatie-log, VvT-overzicht met doorlooptijden.</w:t>
      </w:r>
    </w:p>
    <w:p>
      <w:pPr>
        <w:numPr>
          <w:ilvl w:val="0"/>
          <w:numId w:val="2"/>
        </w:numPr>
        <w:spacing w:lineRule="auto"/>
      </w:pPr>
      <w:r>
        <w:rPr/>
        <w:t xml:space="preserve">W-03 Contractering &amp; Mobilisatie (DO) KPI: Contract getekend ≤ 14 k.d. na gunning; Mobilisatieplan geaccordeerd ≤ 5 k.d. na tekenen. Risico: Vertraging besluitvorming → Mitigatie: Vooraf overeengekomen besluitkalender. Bewijs: Ondertekend contract; Mobilisatieplan; DAP/DPA (verwerkersovereenkomst).</w:t>
      </w:r>
    </w:p>
    <w:p>
      <w:pPr>
        <w:numPr>
          <w:ilvl w:val="0"/>
          <w:numId w:val="2"/>
        </w:numPr>
        <w:spacing w:lineRule="auto"/>
      </w:pPr>
      <w:r>
        <w:rPr/>
        <w:t xml:space="preserve">W-04 Discovery &amp; High-Level Design (PLAN/DO) KPI: 100% assetinventaris; dataverwerking 100% binnen EU; gaplist security binnen 5 k.d. klaar. Risico: Onvolledige CMDB → Mitigatie: Workshops, geautomatiseerde scan, validatie met key-users. Bewijs: CMDB-export; HLD; EU-locatierapport; gaplist met prioriteiten.</w:t>
      </w:r>
    </w:p>
    <w:p>
      <w:pPr>
        <w:numPr>
          <w:ilvl w:val="0"/>
          <w:numId w:val="2"/>
        </w:numPr>
        <w:spacing w:lineRule="auto"/>
      </w:pPr>
      <w:r>
        <w:rPr/>
        <w:t xml:space="preserve">W-05 Monitoring, Patchmanagement, ITIL-processen (DO) KPI: ≥95% endpoints onder monitoring ≤ 10 k.d. na SRR; patchcompliance ≥95% binnen 14 dagen; 24/7 alerting actief. Risico: Agent-rollout faalt → Mitigatie: Stapsgewijze uitrol, rollback, change-kalender. Bewijs: Monitoring-dashboard; patchrapporten; runbooks; ITIL-procesbeschrijvingen.</w:t>
      </w:r>
    </w:p>
    <w:p>
      <w:pPr>
        <w:numPr>
          <w:ilvl w:val="0"/>
          <w:numId w:val="2"/>
        </w:numPr>
        <w:spacing w:lineRule="auto"/>
      </w:pPr>
      <w:r>
        <w:rPr/>
        <w:t xml:space="preserve">W-06 Pilot &amp; Hypercare (CHECK) KPI: 0 P1 open bij SRR; CSAT ≥8/10; P1 TTO &lt;30 min, TTR &lt;4 uur; 99,8% beschikbaarheid per maand. Risico: Verstoringen bij transitie → Mitigatie: Pilotscope, extra bezetting, tijdelijke freeze. Bewijs: SRR-rapport; CSAT-enquêtes; SLA-rapportage; incidentreview (PIR).</w:t>
      </w:r>
    </w:p>
    <w:p>
      <w:pPr>
        <w:numPr>
          <w:ilvl w:val="0"/>
          <w:numId w:val="2"/>
        </w:numPr>
        <w:spacing w:lineRule="auto"/>
      </w:pPr>
      <w:r>
        <w:rPr/>
        <w:t xml:space="preserve">W-07 Run &amp; Continue Verbeteren (ACT) KPI: Maandelijks SLA-rapport; QBR op tijd; ≥3 verbetervoorstellen per kwartaal; continuïteitstest 1x per jaar. Risico: KPI-erosie in run → Mitigatie: OKR-cyclus, trendanalyses, backlog met prioritering. Bewijs: QBR-decks; verbeterbacklog; BCP-testverslag.</w:t>
      </w:r>
    </w:p>
    <w:p>
      <w:pPr>
        <w:spacing w:lineRule="auto"/>
      </w:pPr>
      <w:r>
        <w:rPr/>
        <w:t xml:space="preserve">KPI-overzicht gekoppeld aan eisen en SLA’s</w:t>
      </w:r>
    </w:p>
    <w:p>
      <w:pPr>
        <w:numPr>
          <w:ilvl w:val="0"/>
          <w:numId w:val="3"/>
        </w:numPr>
        <w:spacing w:lineRule="auto"/>
      </w:pPr>
      <w:r>
        <w:rPr/>
        <w:t xml:space="preserve">Beschikbaarheid kritieke systemen ≥99,8%/maand (SLA). W-06/W-07. Risico: single points of failure → Mitigatie: redundantie, monitoring. Bewijs: uptime-rapporten.</w:t>
      </w:r>
    </w:p>
    <w:p>
      <w:pPr>
        <w:numPr>
          <w:ilvl w:val="0"/>
          <w:numId w:val="3"/>
        </w:numPr>
        <w:spacing w:lineRule="auto"/>
      </w:pPr>
      <w:r>
        <w:rPr/>
        <w:t xml:space="preserve">Responstijd P1 &lt;30 min (24/7) (SLA, must). W-05/W-06/W-07. Risico: onderbezetting → Mitigatie: roosters, escalaties. Bewijs: ticketlogs, rooster.</w:t>
      </w:r>
    </w:p>
    <w:p>
      <w:pPr>
        <w:numPr>
          <w:ilvl w:val="0"/>
          <w:numId w:val="3"/>
        </w:numPr>
        <w:spacing w:lineRule="auto"/>
      </w:pPr>
      <w:r>
        <w:rPr/>
        <w:t xml:space="preserve">Oplostijd P1 &lt;4 uur (SLA). W-06/W-07. Risico: vendor-afhankelijkheid → Mitigatie: supportcontracten, swarming. Bewijs: ticket SLA-metrics.</w:t>
      </w:r>
    </w:p>
    <w:p>
      <w:pPr>
        <w:numPr>
          <w:ilvl w:val="0"/>
          <w:numId w:val="3"/>
        </w:numPr>
        <w:spacing w:lineRule="auto"/>
      </w:pPr>
      <w:r>
        <w:rPr/>
        <w:t xml:space="preserve">Patchcompliance ≥95% binnen 14 dagen (must “Monitoring &amp; patchmanagement”). W-05/W-07. Risico: change-vensters → Mitigatie: change-kalender. Bewijs: patchrapporten.</w:t>
      </w:r>
    </w:p>
    <w:p>
      <w:pPr>
        <w:numPr>
          <w:ilvl w:val="0"/>
          <w:numId w:val="3"/>
        </w:numPr>
        <w:spacing w:lineRule="auto"/>
      </w:pPr>
      <w:r>
        <w:rPr/>
        <w:t xml:space="preserve">EU-dataverwerking 100% (must). W-04/W-07. Risico: derde partijen buiten EU → Mitigatie: DPA’s, datalokatie-audits. Bewijs: verwerkersregister, locatierapport.</w:t>
      </w:r>
    </w:p>
    <w:p>
      <w:pPr>
        <w:spacing w:lineRule="auto"/>
      </w:pPr>
      <w:r>
        <w:rPr/>
        <w:t xml:space="preserve">Risicobeheersing (top-5, PDCA)</w:t>
      </w:r>
    </w:p>
    <w:p>
      <w:pPr>
        <w:numPr>
          <w:ilvl w:val="0"/>
          <w:numId w:val="4"/>
        </w:numPr>
        <w:spacing w:lineRule="auto"/>
      </w:pPr>
      <w:r>
        <w:rPr/>
        <w:t xml:space="preserve">R1 Scope-onduidelijkheid vóór SRR → Plan: discovery-workshops; Do: CMDB-scan; Check: scope-freeze review; Act: aanpassing HLD. KPI: 100% assetinventaris. Bewijs: workshopnotulen.</w:t>
      </w:r>
    </w:p>
    <w:p>
      <w:pPr>
        <w:numPr>
          <w:ilvl w:val="0"/>
          <w:numId w:val="4"/>
        </w:numPr>
        <w:spacing w:lineRule="auto"/>
      </w:pPr>
      <w:r>
        <w:rPr/>
        <w:t xml:space="preserve">R2 Capaciteit 24/7 bezetting → Plan: capaciteitsplan; Do: rooster 24/7; Check: weekly adherence; Act: bijsturen. KPI: TTO P1 &lt;30m. Bewijs: rooster, adherence.</w:t>
      </w:r>
    </w:p>
    <w:p>
      <w:pPr>
        <w:numPr>
          <w:ilvl w:val="0"/>
          <w:numId w:val="4"/>
        </w:numPr>
        <w:spacing w:lineRule="auto"/>
      </w:pPr>
      <w:r>
        <w:rPr/>
        <w:t xml:space="preserve">R3 Patch-achterstanden → Plan: patch policy; Do: uitrol wave-based; Check: compliance-rapport; Act: exceptions/lessons learned. KPI: ≥95%/14d. Bewijs: rapporten.</w:t>
      </w:r>
    </w:p>
    <w:p>
      <w:pPr>
        <w:numPr>
          <w:ilvl w:val="0"/>
          <w:numId w:val="4"/>
        </w:numPr>
        <w:spacing w:lineRule="auto"/>
      </w:pPr>
      <w:r>
        <w:rPr/>
        <w:t xml:space="preserve">R4 Continuïteit (BCP) → Plan: BIA/BCP; Do: runbook DR; Check: testresultaten; Act: verbeteringen. KPI: RTO/RPO conform BCP. Bewijs: testverslag.</w:t>
      </w:r>
    </w:p>
    <w:p>
      <w:pPr>
        <w:numPr>
          <w:ilvl w:val="0"/>
          <w:numId w:val="4"/>
        </w:numPr>
        <w:spacing w:lineRule="auto"/>
      </w:pPr>
      <w:r>
        <w:rPr/>
        <w:t xml:space="preserve">R5 Leveranciersafhankelijkheid → Plan: contractmatrix; Do: support-SLA’s; Check: vendor performance; Act: alternatief/dual vendor. KPI: P1 TTR &lt;4h. Bewijs: contracten.</w:t>
      </w:r>
    </w:p>
    <w:p>
      <w:pPr>
        <w:spacing w:lineRule="auto"/>
      </w:pPr>
      <w:r>
        <w:rPr/>
        <w:t xml:space="preserve">PDCA-borging per fase</w:t>
      </w:r>
    </w:p>
    <w:p>
      <w:pPr>
        <w:numPr>
          <w:ilvl w:val="0"/>
          <w:numId w:val="5"/>
        </w:numPr>
        <w:spacing w:lineRule="auto"/>
      </w:pPr>
      <w:r>
        <w:rPr/>
        <w:t xml:space="preserve">Plan: W-01, W-04 (eisen, ontwerp, CMDB, HLD, BCP).</w:t>
      </w:r>
    </w:p>
    <w:p>
      <w:pPr>
        <w:numPr>
          <w:ilvl w:val="0"/>
          <w:numId w:val="5"/>
        </w:numPr>
        <w:spacing w:lineRule="auto"/>
      </w:pPr>
      <w:r>
        <w:rPr/>
        <w:t xml:space="preserve">Do: W-03, W-05 (mobilisatie, inrichting monitoring/ITIL).</w:t>
      </w:r>
    </w:p>
    <w:p>
      <w:pPr>
        <w:numPr>
          <w:ilvl w:val="0"/>
          <w:numId w:val="5"/>
        </w:numPr>
        <w:spacing w:lineRule="auto"/>
      </w:pPr>
      <w:r>
        <w:rPr/>
        <w:t xml:space="preserve">Check: W-06 (pilot, hypercare, CSAT, SLA-check).</w:t>
      </w:r>
    </w:p>
    <w:p>
      <w:pPr>
        <w:numPr>
          <w:ilvl w:val="0"/>
          <w:numId w:val="5"/>
        </w:numPr>
        <w:spacing w:lineRule="auto"/>
      </w:pPr>
      <w:r>
        <w:rPr/>
        <w:t xml:space="preserve">Act: W-07 (QBR/OKR, verbetermaatregelen, lessons learned).</w:t>
      </w:r>
    </w:p>
    <w:p>
      <w:pPr>
        <w:spacing w:lineRule="auto"/>
      </w:pPr>
      <w:r>
        <w:rPr/>
        <w:t xml:space="preserve">Kwaliteit en compliance</w:t>
      </w:r>
    </w:p>
    <w:p>
      <w:pPr>
        <w:numPr>
          <w:ilvl w:val="0"/>
          <w:numId w:val="6"/>
        </w:numPr>
        <w:spacing w:lineRule="auto"/>
      </w:pPr>
      <w:r>
        <w:rPr/>
        <w:t xml:space="preserve">KO-eisen: ISO 27001/ISO 9001 gecertificeerd; 24/7 bereikbaarheidsdienst. Bewijs: certificaten (geldig), bereikbaarheidsrooster en escalatieprocedure.</w:t>
      </w:r>
    </w:p>
    <w:p>
      <w:pPr>
        <w:numPr>
          <w:ilvl w:val="0"/>
          <w:numId w:val="6"/>
        </w:numPr>
        <w:spacing w:lineRule="auto"/>
      </w:pPr>
      <w:r>
        <w:rPr/>
        <w:t xml:space="preserve">Must-haves geborgd: ITIL-processen, EU-dataverwerking, BCP, escalatieprocedure, M365-ondersteuning, proactieve monitoring (netwerk/endpoints), beschikbaarheid 99,8%.</w:t>
      </w:r>
    </w:p>
    <w:p>
      <w:pPr>
        <w:numPr>
          <w:ilvl w:val="0"/>
          <w:numId w:val="6"/>
        </w:numPr>
        <w:spacing w:lineRule="auto"/>
      </w:pPr>
      <w:r>
        <w:rPr/>
        <w:t xml:space="preserve">Bewijslast tijdens SRR: getekende runbooks, geactiveerde monitoring, rapportages en testlogs (P1 simulatie).</w:t>
      </w:r>
    </w:p>
    <w:p>
      <w:pPr>
        <w:spacing w:lineRule="auto"/>
      </w:pPr>
      <w:r>
        <w:rPr/>
        <w:t xml:space="preserve">Mijlpalencriteria (exit/entry)</w:t>
      </w:r>
    </w:p>
    <w:p>
      <w:pPr>
        <w:numPr>
          <w:ilvl w:val="0"/>
          <w:numId w:val="7"/>
        </w:numPr>
        <w:spacing w:lineRule="auto"/>
      </w:pPr>
      <w:r>
        <w:rPr/>
        <w:t xml:space="preserve">G1 entry: Complete EMVI-set ingediend, interne GO. Exit: ontvangstbevestiging aanbestedende dienst.</w:t>
      </w:r>
    </w:p>
    <w:p>
      <w:pPr>
        <w:numPr>
          <w:ilvl w:val="0"/>
          <w:numId w:val="7"/>
        </w:numPr>
        <w:spacing w:lineRule="auto"/>
      </w:pPr>
      <w:r>
        <w:rPr/>
        <w:t xml:space="preserve">G3 entry: Gunning ontvangen; Exit: getekend contract, mobilisatieplan akkoord.</w:t>
      </w:r>
    </w:p>
    <w:p>
      <w:pPr>
        <w:numPr>
          <w:ilvl w:val="0"/>
          <w:numId w:val="7"/>
        </w:numPr>
        <w:spacing w:lineRule="auto"/>
      </w:pPr>
      <w:r>
        <w:rPr/>
        <w:t xml:space="preserve">G4 SRR entry: monitoring ≥95% dekking pilot-scope, ITIL-procedures actief; Exit: 0 open kritieke gaps.</w:t>
      </w:r>
    </w:p>
    <w:p>
      <w:pPr>
        <w:numPr>
          <w:ilvl w:val="0"/>
          <w:numId w:val="7"/>
        </w:numPr>
        <w:spacing w:lineRule="auto"/>
      </w:pPr>
      <w:r>
        <w:rPr/>
        <w:t xml:space="preserve">G5 exit: CSAT ≥8/10, geen open P1/P2, 4 weken stabiele SLA.</w:t>
      </w:r>
    </w:p>
    <w:p>
      <w:pPr>
        <w:numPr>
          <w:ilvl w:val="0"/>
          <w:numId w:val="7"/>
        </w:numPr>
        <w:spacing w:lineRule="auto"/>
      </w:pPr>
      <w:r>
        <w:rPr/>
        <w:t xml:space="preserve">G6 QBR1: alle SLA’s ≥ target, PDCA-acties voor Q2 vastgesteld.</w:t>
      </w:r>
    </w:p>
    <w:p>
      <w:pPr>
        <w:spacing w:lineRule="auto"/>
      </w:pPr>
      <w:r>
        <w:rPr/>
        <w:t xml:space="preserve">Aannames en randvoorwaarden (conform dossier)</w:t>
      </w:r>
    </w:p>
    <w:p>
      <w:pPr>
        <w:numPr>
          <w:ilvl w:val="0"/>
          <w:numId w:val="8"/>
        </w:numPr>
        <w:spacing w:lineRule="auto"/>
      </w:pPr>
      <w:r>
        <w:rPr/>
        <w:t xml:space="preserve">Opdrachtgever levert tijdig toegangen/informatie; locaties toegankelijk; besluitvorming binnen termijnen.</w:t>
      </w:r>
    </w:p>
    <w:p>
      <w:pPr>
        <w:numPr>
          <w:ilvl w:val="0"/>
          <w:numId w:val="8"/>
        </w:numPr>
        <w:spacing w:lineRule="auto"/>
      </w:pPr>
      <w:r>
        <w:rPr/>
        <w:t xml:space="preserve">Internet/netwerk op locaties voldoet aan minimale eisen; Microsoft 365- en overige licenties zijn rechtmatig.</w:t>
      </w:r>
    </w:p>
    <w:p>
      <w:pPr>
        <w:numPr>
          <w:ilvl w:val="0"/>
          <w:numId w:val="8"/>
        </w:numPr>
        <w:spacing w:lineRule="auto"/>
      </w:pPr>
      <w:r>
        <w:rPr/>
        <w:t xml:space="preserve">Buiten scope: levering/beheer onsite hardware tenzij afgesproken; third-party SaaS-support; projectwerk buiten beheer; meerwerk apart; adoptie/training op verzoek.</w:t>
      </w:r>
    </w:p>
    <w:p>
      <w:pPr>
        <w:numPr>
          <w:ilvl w:val="0"/>
          <w:numId w:val="8"/>
        </w:numPr>
        <w:spacing w:lineRule="auto"/>
      </w:pPr>
      <w:r>
        <w:rPr/>
        <w:t xml:space="preserve">Prijs is vast (pricing_locked); garantie 12 maanden op projectdeliverables.</w:t>
      </w:r>
    </w:p>
    <w:p>
      <w:pPr>
        <w:spacing w:lineRule="auto"/>
      </w:pPr>
      <w:r>
        <w:rPr/>
        <w:t xml:space="preserve">Benodigde input:</w:t>
      </w:r>
    </w:p>
    <w:p>
      <w:pPr>
        <w:numPr>
          <w:ilvl w:val="0"/>
          <w:numId w:val="9"/>
        </w:numPr>
        <w:spacing w:lineRule="auto"/>
      </w:pPr>
      <w:r>
        <w:rPr/>
        <w:t xml:space="preserve">Lijst en contactgegevens key-stakeholders (contract, security, operations).</w:t>
      </w:r>
    </w:p>
    <w:p>
      <w:pPr>
        <w:numPr>
          <w:ilvl w:val="0"/>
          <w:numId w:val="9"/>
        </w:numPr>
        <w:spacing w:lineRule="auto"/>
      </w:pPr>
      <w:r>
        <w:rPr/>
        <w:t xml:space="preserve">Overzicht locaties/scope (site-adressen, openingstijden, kritieke systemen, maintenance windows).</w:t>
      </w:r>
    </w:p>
    <w:p>
      <w:pPr>
        <w:numPr>
          <w:ilvl w:val="0"/>
          <w:numId w:val="9"/>
        </w:numPr>
        <w:spacing w:lineRule="auto"/>
      </w:pPr>
      <w:r>
        <w:rPr/>
        <w:t xml:space="preserve">Actuele CMDB/export en netwerk-topologie (incl. M365 tenant-ID en rechtenmodel).</w:t>
      </w:r>
    </w:p>
    <w:p>
      <w:pPr>
        <w:numPr>
          <w:ilvl w:val="0"/>
          <w:numId w:val="9"/>
        </w:numPr>
        <w:spacing w:lineRule="auto"/>
      </w:pPr>
      <w:r>
        <w:rPr/>
        <w:t xml:space="preserve">Security- en compliance-eisen specifiek van opdrachtgever (DPIA-status, verwerkersovereenkomst/AVG).</w:t>
      </w:r>
    </w:p>
    <w:p>
      <w:pPr>
        <w:numPr>
          <w:ilvl w:val="0"/>
          <w:numId w:val="9"/>
        </w:numPr>
        <w:spacing w:lineRule="auto"/>
      </w:pPr>
      <w:r>
        <w:rPr/>
        <w:t xml:space="preserve">Huidige ITIL-procedures en gewenste aanpassingen (incident, change, escalation).</w:t>
      </w:r>
    </w:p>
    <w:p>
      <w:pPr>
        <w:numPr>
          <w:ilvl w:val="0"/>
          <w:numId w:val="9"/>
        </w:numPr>
        <w:spacing w:lineRule="auto"/>
      </w:pPr>
      <w:r>
        <w:rPr/>
        <w:t xml:space="preserve">Overzicht third-party leveranciers en contract-SLA’s (vendor matrix).</w:t>
      </w:r>
    </w:p>
    <w:p>
      <w:pPr>
        <w:numPr>
          <w:ilvl w:val="0"/>
          <w:numId w:val="9"/>
        </w:numPr>
        <w:spacing w:lineRule="auto"/>
      </w:pPr>
      <w:r>
        <w:rPr/>
        <w:t xml:space="preserve">Wensplanning voor transitie en blackout/changes (freeze-periodes).</w:t>
      </w:r>
    </w:p>
    <w:p>
      <w:pPr>
        <w:numPr>
          <w:ilvl w:val="0"/>
          <w:numId w:val="9"/>
        </w:numPr>
        <w:spacing w:lineRule="auto"/>
      </w:pPr>
      <w:r>
        <w:rPr/>
        <w:t xml:space="preserve">Toegangen voor discovery: testaccounts, VPN/privileged access, contact voor on-site toegang.</w:t>
      </w:r>
    </w:p>
    <w:p>
      <w:pPr>
        <w:spacing w:lineRule="auto"/>
      </w:pPr>
      <w:r>
        <w:rPr/>
        <w:t xml:space="preserve">Benodigde input: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header1.xml><?xml version="1.0" encoding="utf-8"?>
<hdr xmlns="http://schemas.openxmlformats.org/wordprocessingml/2006/main">
  <p>
    <pPr>
      <spacing xmlns:ns1="http://schemas.openxmlformats.org/wordprocessingml/2006/main" ns1:lineRule="auto"/>
    </pPr>
    <r>
      <rPr/>
    </r>
  </p>
</hd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eader" Target="header1.xml" TargetMode="Internal"/>
  <Relationship Id="rId7" Type="http://schemas.openxmlformats.org/officeDocument/2006/relationships/footer" Target="footer1.xml" TargetMode="Internal"/>
  <Relationship Id="rId8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Planning (ASCII Gantt + Toelichting)</dc:title>
  <dc:subject/>
  <dc:creator>html-to-docx</dc:creator>
  <cp:keywords>html-to-docx</cp:keywords>
  <dc:description/>
  <cp:lastModifiedBy>html-to-docx</cp:lastModifiedBy>
  <cp:revision>1</cp:revision>
  <dcterms:created xsi:type="dcterms:W3CDTF">2025-12-08T05:33:59.376Z</dcterms:created>
  <dcterms:modified xsi:type="dcterms:W3CDTF">2025-12-08T05:33:59.376Z</dcterms:modified>
</cp:coreProperties>
</file>