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11" w:type="default"/>
      <w:footerReference r:id="rId12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 — Digital Ease B.V. (GV-IT-2026-001)</w:t>
      </w:r>
    </w:p>
    <w:p>
      <w:pPr>
        <w:spacing w:lineRule="auto"/>
      </w:pPr>
      <w:r>
        <w:rPr/>
        <w:t xml:space="preserve">Overzicht</w:t>
      </w:r>
    </w:p>
    <w:p>
      <w:pPr>
        <w:numPr>
          <w:ilvl w:val="0"/>
          <w:numId w:val="1"/>
        </w:numPr>
        <w:spacing w:lineRule="auto"/>
      </w:pPr>
      <w:r>
        <w:rPr/>
        <w:t xml:space="preserve">Type dienstverlening: 24/7 beheer, monitoring, patching, security &amp; M365-ondersteuning, EU-dataresidency, ITIL-servicedesk, ISO 27001/9001-conform.</w:t>
      </w:r>
    </w:p>
    <w:p>
      <w:pPr>
        <w:numPr>
          <w:ilvl w:val="0"/>
          <w:numId w:val="1"/>
        </w:numPr>
        <w:spacing w:lineRule="auto"/>
      </w:pPr>
      <w:r>
        <w:rPr/>
        <w:t xml:space="preserve">Relevantie: publieke sector, hoge beschikbaarheid, korte responstijden, aantoonbare KPI-sturing en PDCA-verbetercyclus.</w:t>
      </w:r>
    </w:p>
    <w:p>
      <w:pPr>
        <w:numPr>
          <w:ilvl w:val="0"/>
          <w:numId w:val="1"/>
        </w:numPr>
        <w:spacing w:lineRule="auto"/>
      </w:pPr>
      <w:r>
        <w:rPr/>
        <w:t xml:space="preserve">W-xx koppelplan (uniform):</w:t>
      </w:r>
    </w:p>
    <w:p>
      <w:pPr>
        <w:numPr>
          <w:ilvl w:val="1"/>
          <w:numId w:val="2"/>
        </w:numPr>
        <w:spacing w:lineRule="auto"/>
      </w:pPr>
      <w:r>
        <w:rPr/>
        <w:t xml:space="preserve">W-01 Onboarding &amp; CMDB</w:t>
      </w:r>
    </w:p>
    <w:p>
      <w:pPr>
        <w:numPr>
          <w:ilvl w:val="1"/>
          <w:numId w:val="2"/>
        </w:numPr>
        <w:spacing w:lineRule="auto"/>
      </w:pPr>
      <w:r>
        <w:rPr/>
        <w:t xml:space="preserve">W-02 24/7 Monitoring &amp; Incident Response</w:t>
      </w:r>
    </w:p>
    <w:p>
      <w:pPr>
        <w:numPr>
          <w:ilvl w:val="1"/>
          <w:numId w:val="2"/>
        </w:numPr>
        <w:spacing w:lineRule="auto"/>
      </w:pPr>
      <w:r>
        <w:rPr/>
        <w:t xml:space="preserve">W-03 Patch- &amp; Vulnerability Management</w:t>
      </w:r>
    </w:p>
    <w:p>
      <w:pPr>
        <w:numPr>
          <w:ilvl w:val="1"/>
          <w:numId w:val="2"/>
        </w:numPr>
        <w:spacing w:lineRule="auto"/>
      </w:pPr>
      <w:r>
        <w:rPr/>
        <w:t xml:space="preserve">W-04 Microsoft 365 &amp; Endpoint Management</w:t>
      </w:r>
    </w:p>
    <w:p>
      <w:pPr>
        <w:numPr>
          <w:ilvl w:val="1"/>
          <w:numId w:val="2"/>
        </w:numPr>
        <w:spacing w:lineRule="auto"/>
      </w:pPr>
      <w:r>
        <w:rPr/>
        <w:t xml:space="preserve">W-05 Continuïteit &amp; DR</w:t>
      </w:r>
    </w:p>
    <w:p>
      <w:pPr>
        <w:numPr>
          <w:ilvl w:val="1"/>
          <w:numId w:val="2"/>
        </w:numPr>
        <w:spacing w:lineRule="auto"/>
      </w:pPr>
      <w:r>
        <w:rPr/>
        <w:t xml:space="preserve">W-06 Serviceverbetering &amp; Rapportage</w:t>
      </w:r>
    </w:p>
    <w:p>
      <w:pPr>
        <w:numPr>
          <w:ilvl w:val="0"/>
          <w:numId w:val="3"/>
        </w:numPr>
        <w:spacing w:lineRule="auto"/>
      </w:pPr>
      <w:r>
        <w:rPr/>
        <w:t xml:space="preserve">Gemeente Zuidpoort — Raamovereenkomst Beheer en Security (1.200 gebruikers, 14 locaties)</w:t>
      </w:r>
    </w:p>
    <w:p>
      <w:pPr>
        <w:numPr>
          <w:ilvl w:val="0"/>
          <w:numId w:val="4"/>
        </w:numPr>
        <w:spacing w:lineRule="auto"/>
      </w:pPr>
      <w:r>
        <w:rPr/>
        <w:t xml:space="preserve">Periode: 2022–heden | Contractvorm: Raamovereenkomst EMVI | Rol: hoofdaannemer (met SecureOps NL voor SOC)</w:t>
      </w:r>
    </w:p>
    <w:p>
      <w:pPr>
        <w:numPr>
          <w:ilvl w:val="0"/>
          <w:numId w:val="4"/>
        </w:numPr>
        <w:spacing w:lineRule="auto"/>
      </w:pPr>
      <w:r>
        <w:rPr/>
        <w:t xml:space="preserve">Scope: 24/7 NOC/SOC, netwerk- en serverbeheer, M365, endpointbeveiliging, ITIL-servicedesk, EU-dataresidency, continuïteitstesten.</w:t>
      </w:r>
    </w:p>
    <w:p>
      <w:pPr>
        <w:numPr>
          <w:ilvl w:val="0"/>
          <w:numId w:val="4"/>
        </w:numPr>
        <w:spacing w:lineRule="auto"/>
      </w:pPr>
      <w:r>
        <w:rPr/>
        <w:t xml:space="preserve">PDCA:</w:t>
      </w:r>
    </w:p>
    <w:p>
      <w:pPr>
        <w:numPr>
          <w:ilvl w:val="1"/>
          <w:numId w:val="5"/>
        </w:numPr>
        <w:spacing w:lineRule="auto"/>
      </w:pPr>
      <w:r>
        <w:rPr/>
        <w:t xml:space="preserve">Plan: W-01 intake en baselining; KPI-kader vastgesteld (SLA 99,8%/maand; P1 &lt;30 min; P1 oplostijd &lt;4 uur; patch-compliance &gt;98%/14 dagen).</w:t>
      </w:r>
    </w:p>
    <w:p>
      <w:pPr>
        <w:numPr>
          <w:ilvl w:val="1"/>
          <w:numId w:val="5"/>
        </w:numPr>
        <w:spacing w:lineRule="auto"/>
      </w:pPr>
      <w:r>
        <w:rPr/>
        <w:t xml:space="preserve">Do: W-02 implementatie SIEM + runbooks; W-03 Intune/WSUS; W-04 M365 hardening; W-05 jaarlijkse DR-test; W-06 maandelijkse SLR.</w:t>
      </w:r>
    </w:p>
    <w:p>
      <w:pPr>
        <w:numPr>
          <w:ilvl w:val="1"/>
          <w:numId w:val="5"/>
        </w:numPr>
        <w:spacing w:lineRule="auto"/>
      </w:pPr>
      <w:r>
        <w:rPr/>
        <w:t xml:space="preserve">Check: Maandrapportage KPI’s; kwartaal-audits (ISO 27001-controles); risico-review per kwartaal.</w:t>
      </w:r>
    </w:p>
    <w:p>
      <w:pPr>
        <w:numPr>
          <w:ilvl w:val="1"/>
          <w:numId w:val="5"/>
        </w:numPr>
        <w:spacing w:lineRule="auto"/>
      </w:pPr>
      <w:r>
        <w:rPr/>
        <w:t xml:space="preserve">Act: Trendverbeteringen: automatisering P1 paging, zero-touch onboarding, geoptimaliseerde change-vensters.</w:t>
      </w:r>
    </w:p>
    <w:p>
      <w:pPr>
        <w:numPr>
          <w:ilvl w:val="0"/>
          <w:numId w:val="4"/>
        </w:numPr>
        <w:spacing w:lineRule="auto"/>
      </w:pPr>
      <w:r>
        <w:rPr/>
        <w:t xml:space="preserve">W-xx ↔ KPI ↔ Risico ↔ Bewijs:</w:t>
      </w:r>
    </w:p>
    <w:p>
      <w:pPr>
        <w:numPr>
          <w:ilvl w:val="1"/>
          <w:numId w:val="6"/>
        </w:numPr>
        <w:spacing w:lineRule="auto"/>
      </w:pPr>
      <w:r>
        <w:rPr/>
        <w:t xml:space="preserve">W-02 ↔ P1-responstijd ↔ Niet-tijdige alarmering ↔ SIEM-tickets export + NOC-roosters</w:t>
      </w:r>
    </w:p>
    <w:p>
      <w:pPr>
        <w:numPr>
          <w:ilvl w:val="1"/>
          <w:numId w:val="6"/>
        </w:numPr>
        <w:spacing w:lineRule="auto"/>
      </w:pPr>
      <w:r>
        <w:rPr/>
        <w:t xml:space="preserve">W-03 ↔ Patch-compliance ↔ Exploit zero-days ↔ Intune/WSUS-rapportages + Nessus-scanrapporten</w:t>
      </w:r>
    </w:p>
    <w:p>
      <w:pPr>
        <w:numPr>
          <w:ilvl w:val="1"/>
          <w:numId w:val="6"/>
        </w:numPr>
        <w:spacing w:lineRule="auto"/>
      </w:pPr>
      <w:r>
        <w:rPr/>
        <w:t xml:space="preserve">W-05 ↔ RTO/RPO ↔ Dataverlies ↔ DR-testverslagen + back-up herstelrapport</w:t>
      </w:r>
    </w:p>
    <w:p>
      <w:pPr>
        <w:numPr>
          <w:ilvl w:val="1"/>
          <w:numId w:val="6"/>
        </w:numPr>
        <w:spacing w:lineRule="auto"/>
      </w:pPr>
      <w:r>
        <w:rPr/>
        <w:t xml:space="preserve">W-04 ↔ MFA-dekking ↔ Account take-over ↔ Entra ID rapport + Secure Score</w:t>
      </w:r>
    </w:p>
    <w:p>
      <w:pPr>
        <w:numPr>
          <w:ilvl w:val="0"/>
          <w:numId w:val="4"/>
        </w:numPr>
        <w:spacing w:lineRule="auto"/>
      </w:pPr>
      <w:r>
        <w:rPr/>
        <w:t xml:space="preserve">Contactpersoon opdrachtgever: Janneke Vermeer, Teamleider ICT, </w:t>
      </w:r>
      <w:hyperlink r:id="rId6">
        <w:r>
          <w:rPr>
            <w:rStyle w:val="Hyperlink"/>
          </w:rPr>
          <w:t xml:space="preserve">j.vermeer@zuidpoort.nl</w:t>
        </w:r>
      </w:hyperlink>
      <w:r>
        <w:rPr/>
        <w:t xml:space="preserve">, +31 6 24 88 91 70</w:t>
      </w:r>
    </w:p>
    <w:p>
      <w:pPr>
        <w:spacing w:lineRule="auto"/>
      </w:pPr>
      <w:r>
        <w:rPr/>
        <w:t xml:space="preserve">Mini-tabel KPI-resultaten KPI | Target | Realisatie | Periode | Bewijs Beschikbaarheid kritieke systemen | ≥99,8%/maand | 99,96% gem. | 2023–Q3 2024 | Uptime-rapport NOC Responstijd P1 | &lt;30 min | 12 min p95 | 2023–Q3 2024 | SIEM/NOC export Oplostijd P1 | &lt;4 uur | 2u40m p90 | 2023–Q3 2024 | ITSM-rapport Patch-compliance (14 dgn) | ≥98% | 99,2% | H1 2024 | Intune/WSUS CSAT servicedesk | ≥8,5/10 | 8,9/10 | 2023–2024 | CSAT-export MFA-dekking M365 | 100% | 100% | 2023–heden | Entra ID DR-test (RTO 4h/RPO 1h) | 100% pass | 100% pass | Nov 2023 | DR-rapport</w:t>
      </w:r>
    </w:p>
    <w:p>
      <w:pPr>
        <w:numPr>
          <w:ilvl w:val="0"/>
          <w:numId w:val="7"/>
        </w:numPr>
        <w:spacing w:lineRule="auto"/>
      </w:pPr>
      <w:r>
        <w:rPr/>
        <w:t xml:space="preserve">Hogeschool Delta — M365, Endpoint &amp; Netwerkbeheer (9.500 studenten, 1.100 medewerkers)</w:t>
      </w:r>
    </w:p>
    <w:p>
      <w:pPr>
        <w:numPr>
          <w:ilvl w:val="0"/>
          <w:numId w:val="8"/>
        </w:numPr>
        <w:spacing w:lineRule="auto"/>
      </w:pPr>
      <w:r>
        <w:rPr/>
        <w:t xml:space="preserve">Periode: 2021–heden | Contractvorm: Managed Services | Rol: hoofdaannemer (IT Infra Group voor campusnetwerkprojecten)</w:t>
      </w:r>
    </w:p>
    <w:p>
      <w:pPr>
        <w:numPr>
          <w:ilvl w:val="0"/>
          <w:numId w:val="8"/>
        </w:numPr>
        <w:spacing w:lineRule="auto"/>
      </w:pPr>
      <w:r>
        <w:rPr/>
        <w:t xml:space="preserve">Scope: M365 beheer, Intune/Autopilot, Fortinet-segmentatie, 24/7 incidentafhandeling, proactieve monitoring, SIEM use-cases gericht op identity.</w:t>
      </w:r>
    </w:p>
    <w:p>
      <w:pPr>
        <w:numPr>
          <w:ilvl w:val="0"/>
          <w:numId w:val="8"/>
        </w:numPr>
        <w:spacing w:lineRule="auto"/>
      </w:pPr>
      <w:r>
        <w:rPr/>
        <w:t xml:space="preserve">PDCA:</w:t>
      </w:r>
    </w:p>
    <w:p>
      <w:pPr>
        <w:numPr>
          <w:ilvl w:val="1"/>
          <w:numId w:val="9"/>
        </w:numPr>
        <w:spacing w:lineRule="auto"/>
      </w:pPr>
      <w:r>
        <w:rPr/>
        <w:t xml:space="preserve">Plan: W-01 maturity-scan; KPI’s: 30% incidentreductie in 12 maanden; MFA 100%; Secure Score +20 pt YoY.</w:t>
      </w:r>
    </w:p>
    <w:p>
      <w:pPr>
        <w:numPr>
          <w:ilvl w:val="1"/>
          <w:numId w:val="9"/>
        </w:numPr>
        <w:spacing w:lineRule="auto"/>
      </w:pPr>
      <w:r>
        <w:rPr/>
        <w:t xml:space="preserve">Do: W-04 M365 hardening; W-02 SOC-runbooks; W-03 versnelde patch-cadans (educational windows).</w:t>
      </w:r>
    </w:p>
    <w:p>
      <w:pPr>
        <w:numPr>
          <w:ilvl w:val="1"/>
          <w:numId w:val="9"/>
        </w:numPr>
        <w:spacing w:lineRule="auto"/>
      </w:pPr>
      <w:r>
        <w:rPr/>
        <w:t xml:space="preserve">Check: Maandelijkse KPI-review met onderwijs-IT; kwartaal pen-test opvolging.</w:t>
      </w:r>
    </w:p>
    <w:p>
      <w:pPr>
        <w:numPr>
          <w:ilvl w:val="1"/>
          <w:numId w:val="9"/>
        </w:numPr>
        <w:spacing w:lineRule="auto"/>
      </w:pPr>
      <w:r>
        <w:rPr/>
        <w:t xml:space="preserve">Act: Conditional Access finetuning; self-service password reset adopteren; update-change vensters verplaatsen naar nacht.</w:t>
      </w:r>
    </w:p>
    <w:p>
      <w:pPr>
        <w:numPr>
          <w:ilvl w:val="0"/>
          <w:numId w:val="8"/>
        </w:numPr>
        <w:spacing w:lineRule="auto"/>
      </w:pPr>
      <w:r>
        <w:rPr/>
        <w:t xml:space="preserve">W-xx ↔ KPI ↔ Risico ↔ Bewijs:</w:t>
      </w:r>
    </w:p>
    <w:p>
      <w:pPr>
        <w:numPr>
          <w:ilvl w:val="1"/>
          <w:numId w:val="10"/>
        </w:numPr>
        <w:spacing w:lineRule="auto"/>
      </w:pPr>
      <w:r>
        <w:rPr/>
        <w:t xml:space="preserve">W-04 ↔ Secure Score ↔ Onvoldoende identity controls ↔ Secure Score-historie</w:t>
      </w:r>
    </w:p>
    <w:p>
      <w:pPr>
        <w:numPr>
          <w:ilvl w:val="1"/>
          <w:numId w:val="10"/>
        </w:numPr>
        <w:spacing w:lineRule="auto"/>
      </w:pPr>
      <w:r>
        <w:rPr/>
        <w:t xml:space="preserve">W-02 ↔ Incidentreductie ↔ Overbelasting servicedesk ↔ ITSM-trendanalyse</w:t>
      </w:r>
    </w:p>
    <w:p>
      <w:pPr>
        <w:numPr>
          <w:ilvl w:val="0"/>
          <w:numId w:val="8"/>
        </w:numPr>
        <w:spacing w:lineRule="auto"/>
      </w:pPr>
      <w:r>
        <w:rPr/>
        <w:t xml:space="preserve">Contactpersoon opdrachtgever: drs. Marieke Vos, Hoofd Informatiemanagement, </w:t>
      </w:r>
      <w:hyperlink r:id="rId7">
        <w:r>
          <w:rPr>
            <w:rStyle w:val="Hyperlink"/>
          </w:rPr>
          <w:t xml:space="preserve">m.vos@hsdelta.nl</w:t>
        </w:r>
      </w:hyperlink>
      <w:r>
        <w:rPr/>
        <w:t xml:space="preserve">, +31 6 41 77 02 55</w:t>
      </w:r>
    </w:p>
    <w:p>
      <w:pPr>
        <w:spacing w:lineRule="auto"/>
      </w:pPr>
      <w:r>
        <w:rPr/>
        <w:t xml:space="preserve">Mini-tabel KPI-resultaten KPI | Target | Realisatie | Periode | Bewijs Incidentreductie totaal | ≥30% in 12 mnd | 34% | 2022 | ITSM-trendrapport Secure Score YoY | +20 punten | +26 punten | 2022–2023 | M365 rapport MFA-dekking accounts | 100% | 100% | 2022–heden | Entra ID Responstijd P1 | &lt;30 min | 10 min p95 | 2023–2024 | SIEM/NOC Patch-compliance (14 dgn) | ≥98% | 98,7% | 2023–2024 | Intune/WSUS CSAT servicedesk | ≥8,5/10 | 9,1/10 | 2023–2024 | CSAT-export</w:t>
      </w:r>
    </w:p>
    <w:p>
      <w:pPr>
        <w:numPr>
          <w:ilvl w:val="0"/>
          <w:numId w:val="11"/>
        </w:numPr>
        <w:spacing w:lineRule="auto"/>
      </w:pPr>
      <w:r>
        <w:rPr/>
        <w:t xml:space="preserve">Veiligheidsregio Noord-West — 24/7 SOC en Netwerkbeveiliging (kritische diensten)</w:t>
      </w:r>
    </w:p>
    <w:p>
      <w:pPr>
        <w:numPr>
          <w:ilvl w:val="0"/>
          <w:numId w:val="12"/>
        </w:numPr>
        <w:spacing w:lineRule="auto"/>
      </w:pPr>
      <w:r>
        <w:rPr/>
        <w:t xml:space="preserve">Periode: 2020–heden | Contractvorm: Raamovereenkomst | Rol: co-sourcingspartner (SecureOps NL lead SOC; Digital Ease lead netwerk en endpoint)</w:t>
      </w:r>
    </w:p>
    <w:p>
      <w:pPr>
        <w:numPr>
          <w:ilvl w:val="0"/>
          <w:numId w:val="12"/>
        </w:numPr>
        <w:spacing w:lineRule="auto"/>
      </w:pPr>
      <w:r>
        <w:rPr/>
        <w:t xml:space="preserve">Scope: 24/7 monitoring, incident response, Fortinet NSE4-engineering, OT/ICS-segmentatie, BCP/DR-oefeningen, EU-dataresidency, ISO 27001/9001 processen.</w:t>
      </w:r>
    </w:p>
    <w:p>
      <w:pPr>
        <w:numPr>
          <w:ilvl w:val="0"/>
          <w:numId w:val="12"/>
        </w:numPr>
        <w:spacing w:lineRule="auto"/>
      </w:pPr>
      <w:r>
        <w:rPr/>
        <w:t xml:space="preserve">PDCA:</w:t>
      </w:r>
    </w:p>
    <w:p>
      <w:pPr>
        <w:numPr>
          <w:ilvl w:val="1"/>
          <w:numId w:val="13"/>
        </w:numPr>
        <w:spacing w:lineRule="auto"/>
      </w:pPr>
      <w:r>
        <w:rPr/>
        <w:t xml:space="preserve">Plan: W-01 risicoanalyse (NEN 7510/NIB2-conform); KPI’s: MTTA &lt;15 min; MTTR P1 &lt;3 uur; false-positive ratio &lt;10%.</w:t>
      </w:r>
    </w:p>
    <w:p>
      <w:pPr>
        <w:numPr>
          <w:ilvl w:val="1"/>
          <w:numId w:val="13"/>
        </w:numPr>
        <w:spacing w:lineRule="auto"/>
      </w:pPr>
      <w:r>
        <w:rPr/>
        <w:t xml:space="preserve">Do: W-02 SOC playbooks; W-03 kwetsbaarheidsscans 2-wekelijks; W-05 halfjaarlijkse crisisoefeningen.</w:t>
      </w:r>
    </w:p>
    <w:p>
      <w:pPr>
        <w:numPr>
          <w:ilvl w:val="1"/>
          <w:numId w:val="13"/>
        </w:numPr>
        <w:spacing w:lineRule="auto"/>
      </w:pPr>
      <w:r>
        <w:rPr/>
        <w:t xml:space="preserve">Check: Maandelijkse SOC-QBR; audit-traceability op use-cases; lessons learned.</w:t>
      </w:r>
    </w:p>
    <w:p>
      <w:pPr>
        <w:numPr>
          <w:ilvl w:val="1"/>
          <w:numId w:val="13"/>
        </w:numPr>
        <w:spacing w:lineRule="auto"/>
      </w:pPr>
      <w:r>
        <w:rPr/>
        <w:t xml:space="preserve">Act: Tuning SIEM-regels; EDR-policy verhoging; tabletop updates.</w:t>
      </w:r>
    </w:p>
    <w:p>
      <w:pPr>
        <w:numPr>
          <w:ilvl w:val="0"/>
          <w:numId w:val="12"/>
        </w:numPr>
        <w:spacing w:lineRule="auto"/>
      </w:pPr>
      <w:r>
        <w:rPr/>
        <w:t xml:space="preserve">W-xx ↔ KPI ↔ Risico ↔ Bewijs:</w:t>
      </w:r>
    </w:p>
    <w:p>
      <w:pPr>
        <w:numPr>
          <w:ilvl w:val="1"/>
          <w:numId w:val="14"/>
        </w:numPr>
        <w:spacing w:lineRule="auto"/>
      </w:pPr>
      <w:r>
        <w:rPr/>
        <w:t xml:space="preserve">W-02 ↔ MTTA/MTTR ↔ Vertraagde mitigatie ↔ SIEM-casemetrics</w:t>
      </w:r>
    </w:p>
    <w:p>
      <w:pPr>
        <w:numPr>
          <w:ilvl w:val="1"/>
          <w:numId w:val="14"/>
        </w:numPr>
        <w:spacing w:lineRule="auto"/>
      </w:pPr>
      <w:r>
        <w:rPr/>
        <w:t xml:space="preserve">W-03 ↔ Exploit-risico ↔ Ongepatchte assets ↔ Nessus/Qualys rapporten</w:t>
      </w:r>
    </w:p>
    <w:p>
      <w:pPr>
        <w:numPr>
          <w:ilvl w:val="0"/>
          <w:numId w:val="12"/>
        </w:numPr>
        <w:spacing w:lineRule="auto"/>
      </w:pPr>
      <w:r>
        <w:rPr/>
        <w:t xml:space="preserve">Contactpersoon opdrachtgever: Peter de Ruiter, Manager ICT &amp; Meldkamer, </w:t>
      </w:r>
      <w:hyperlink r:id="rId8">
        <w:r>
          <w:rPr>
            <w:rStyle w:val="Hyperlink"/>
          </w:rPr>
          <w:t xml:space="preserve">p.deruiter@vrnw.nl</w:t>
        </w:r>
      </w:hyperlink>
      <w:r>
        <w:rPr/>
        <w:t xml:space="preserve">, +31 6 11 30 44 89</w:t>
      </w:r>
    </w:p>
    <w:p>
      <w:pPr>
        <w:spacing w:lineRule="auto"/>
      </w:pPr>
      <w:r>
        <w:rPr/>
        <w:t xml:space="preserve">Mini-tabel KPI-resultaten KPI | Target | Realisatie | Periode | Bewijs MTTA (P1) | &lt;15 min | 7 min median | 2023–2024 | SIEM-metrics MTTR (P1) | &lt;3 uur | 2u12m p90 | 2023–2024 | IR-rapporten False-positive ratio | &lt;10% | 6,8% | 2024 | SOC QBR Patch-compliance kritieke CVE’s | ≥98%/7 dgn | 98,5% | 2024 | Scanrapport RTO/RPO kernsystemen | 4h/1h | Gehaald | Okt 2023 | DR-rapport Beschikbaarheid meldkamersystemen | ≥99,9% | 99,95% | 2023–2024 | Uptime-rapport</w:t>
      </w:r>
    </w:p>
    <w:p>
      <w:pPr>
        <w:numPr>
          <w:ilvl w:val="0"/>
          <w:numId w:val="15"/>
        </w:numPr>
        <w:spacing w:lineRule="auto"/>
      </w:pPr>
      <w:r>
        <w:rPr/>
        <w:t xml:space="preserve">Provincie Rijnland — Hybride Cloud &amp; Managed Services (850 medewerkers)</w:t>
      </w:r>
    </w:p>
    <w:p>
      <w:pPr>
        <w:numPr>
          <w:ilvl w:val="0"/>
          <w:numId w:val="16"/>
        </w:numPr>
        <w:spacing w:lineRule="auto"/>
      </w:pPr>
      <w:r>
        <w:rPr/>
        <w:t xml:space="preserve">Periode: 2021–heden | Contractvorm: Resultaatverplicht | Rol: hoofdaannemer (IT Infra Group voor datacenterconnect)</w:t>
      </w:r>
    </w:p>
    <w:p>
      <w:pPr>
        <w:numPr>
          <w:ilvl w:val="0"/>
          <w:numId w:val="16"/>
        </w:numPr>
        <w:spacing w:lineRule="auto"/>
      </w:pPr>
      <w:r>
        <w:rPr/>
        <w:t xml:space="preserve">Scope: migratie naar hybride cloud (Azure/VMware), beheer en monitoring, BCP/DR, M365 governance, EU-data, ITIL v4 servicedesk.</w:t>
      </w:r>
    </w:p>
    <w:p>
      <w:pPr>
        <w:numPr>
          <w:ilvl w:val="0"/>
          <w:numId w:val="16"/>
        </w:numPr>
        <w:spacing w:lineRule="auto"/>
      </w:pPr>
      <w:r>
        <w:rPr/>
        <w:t xml:space="preserve">PDCA:</w:t>
      </w:r>
    </w:p>
    <w:p>
      <w:pPr>
        <w:numPr>
          <w:ilvl w:val="1"/>
          <w:numId w:val="17"/>
        </w:numPr>
        <w:spacing w:lineRule="auto"/>
      </w:pPr>
      <w:r>
        <w:rPr/>
        <w:t xml:space="preserve">Plan: W-01 discovery + KPI’s: 99,9% kernapp-availability; P1 &lt;30 min; P1 oplostijd &lt;4 uur; 100% EU-data.</w:t>
      </w:r>
    </w:p>
    <w:p>
      <w:pPr>
        <w:numPr>
          <w:ilvl w:val="1"/>
          <w:numId w:val="17"/>
        </w:numPr>
        <w:spacing w:lineRule="auto"/>
      </w:pPr>
      <w:r>
        <w:rPr/>
        <w:t xml:space="preserve">Do: W-02 NOC/SOC; W-03 patching; W-05 DR-failover testen; W-04 M365 governanceboard.</w:t>
      </w:r>
    </w:p>
    <w:p>
      <w:pPr>
        <w:numPr>
          <w:ilvl w:val="1"/>
          <w:numId w:val="17"/>
        </w:numPr>
        <w:spacing w:lineRule="auto"/>
      </w:pPr>
      <w:r>
        <w:rPr/>
        <w:t xml:space="preserve">Check: Maandelijkse SLR en KPI-dashboards; kwartaal ISO 27001 control-checks.</w:t>
      </w:r>
    </w:p>
    <w:p>
      <w:pPr>
        <w:numPr>
          <w:ilvl w:val="1"/>
          <w:numId w:val="17"/>
        </w:numPr>
        <w:spacing w:lineRule="auto"/>
      </w:pPr>
      <w:r>
        <w:rPr/>
        <w:t xml:space="preserve">Act: Capaciteitsplanning geautomatiseerd; change freeze rond verkiezingen; finetuning alert-thresholds.</w:t>
      </w:r>
    </w:p>
    <w:p>
      <w:pPr>
        <w:numPr>
          <w:ilvl w:val="0"/>
          <w:numId w:val="16"/>
        </w:numPr>
        <w:spacing w:lineRule="auto"/>
      </w:pPr>
      <w:r>
        <w:rPr/>
        <w:t xml:space="preserve">W-xx ↔ KPI ↔ Risico ↔ Bewijs:</w:t>
      </w:r>
    </w:p>
    <w:p>
      <w:pPr>
        <w:numPr>
          <w:ilvl w:val="1"/>
          <w:numId w:val="18"/>
        </w:numPr>
        <w:spacing w:lineRule="auto"/>
      </w:pPr>
      <w:r>
        <w:rPr/>
        <w:t xml:space="preserve">W-05 ↔ Continuïteit ↔ Uitval primaire applicaties ↔ DR-testlog</w:t>
      </w:r>
    </w:p>
    <w:p>
      <w:pPr>
        <w:numPr>
          <w:ilvl w:val="1"/>
          <w:numId w:val="18"/>
        </w:numPr>
        <w:spacing w:lineRule="auto"/>
      </w:pPr>
      <w:r>
        <w:rPr/>
        <w:t xml:space="preserve">W-04 ↔ Datalokatie ↔ Niet-EU-verwerking ↔ DPIA + verwerkersovereenkomsten</w:t>
      </w:r>
    </w:p>
    <w:p>
      <w:pPr>
        <w:numPr>
          <w:ilvl w:val="0"/>
          <w:numId w:val="16"/>
        </w:numPr>
        <w:spacing w:lineRule="auto"/>
      </w:pPr>
      <w:r>
        <w:rPr/>
        <w:t xml:space="preserve">Contactpersoon opdrachtgever: Saskia Dammers, CIO a.i., </w:t>
      </w:r>
      <w:hyperlink r:id="rId9">
        <w:r>
          <w:rPr>
            <w:rStyle w:val="Hyperlink"/>
          </w:rPr>
          <w:t xml:space="preserve">s.dammers@prijnland.nl</w:t>
        </w:r>
      </w:hyperlink>
      <w:r>
        <w:rPr/>
        <w:t xml:space="preserve">, +31 6 18 55 73 20</w:t>
      </w:r>
    </w:p>
    <w:p>
      <w:pPr>
        <w:spacing w:lineRule="auto"/>
      </w:pPr>
      <w:r>
        <w:rPr/>
        <w:t xml:space="preserve">Mini-tabel KPI-resultaten KPI | Target | Realisatie | Periode | Bewijs Beschikbaarheid kernapplicaties | ≥99,9% | 99,94% | 2023–2024 | Uptime-rapport Responstijd P1 | &lt;30 min | 11 min p95 | 2023–2024 | ITSM/SIEM Oplostijd P1 | &lt;4 uur | 3u05m p90 | 2023–2024 | ITSM EU-dataresidency | 100% | 100% | 2021–heden | DPA/DPIA Patch-compliance (14 dgn) | ≥98% | 99,0% | 2024 | Intune/WSUS CSAT | ≥8,5/10 | 9,0/10 | 2023–2024 | CSAT-export</w:t>
      </w:r>
    </w:p>
    <w:p>
      <w:pPr>
        <w:spacing w:lineRule="auto"/>
      </w:pPr>
      <w:r>
        <w:rPr/>
        <w:t xml:space="preserve">Overkoepelende bewijsvoering (op aanvraag te overleggen)</w:t>
      </w:r>
    </w:p>
    <w:p>
      <w:pPr>
        <w:numPr>
          <w:ilvl w:val="0"/>
          <w:numId w:val="19"/>
        </w:numPr>
        <w:spacing w:lineRule="auto"/>
      </w:pPr>
      <w:r>
        <w:rPr/>
        <w:t xml:space="preserve">Certificeringen: ISO 27001, ISO 9001, NEN 7510 (Digital Ease B.V.); Microsoft Solutions Partner – Modern Work; Fortinet NSE4.</w:t>
      </w:r>
    </w:p>
    <w:p>
      <w:pPr>
        <w:numPr>
          <w:ilvl w:val="0"/>
          <w:numId w:val="19"/>
        </w:numPr>
        <w:spacing w:lineRule="auto"/>
      </w:pPr>
      <w:r>
        <w:rPr/>
        <w:t xml:space="preserve">Proces- en auditstukken: ISMS-scope, jaarplan PDCA, interne auditrapporten, change-kalenders, CMDB-export (geanonimiseerd), SIEM/ITSM-rapportages, DR-testverslagen.</w:t>
      </w:r>
    </w:p>
    <w:p>
      <w:pPr>
        <w:numPr>
          <w:ilvl w:val="0"/>
          <w:numId w:val="19"/>
        </w:numPr>
        <w:spacing w:lineRule="auto"/>
      </w:pPr>
      <w:r>
        <w:rPr/>
        <w:t xml:space="preserve">Dataverwerking: verwerkersovereenkomsten en DPIA’s met expliciete EU-dataresidency-clausules.</w:t>
      </w:r>
    </w:p>
    <w:p>
      <w:pPr>
        <w:spacing w:lineRule="auto"/>
      </w:pPr>
      <w:r>
        <w:rPr/>
        <w:t xml:space="preserve">SMART-samenvatting per W-xx (transversaal)</w:t>
      </w:r>
    </w:p>
    <w:p>
      <w:pPr>
        <w:numPr>
          <w:ilvl w:val="0"/>
          <w:numId w:val="20"/>
        </w:numPr>
        <w:spacing w:lineRule="auto"/>
      </w:pPr>
      <w:r>
        <w:rPr/>
        <w:t xml:space="preserve">W-01 Onboarding &amp; CMDB: binnen 6 weken volledige asset-registratie (≥98% inventarisdekking) en baseline risico’s vastgesteld; maand 2 audit op volledigheid; aantoonbaar via CMDB-export.</w:t>
      </w:r>
    </w:p>
    <w:p>
      <w:pPr>
        <w:numPr>
          <w:ilvl w:val="0"/>
          <w:numId w:val="20"/>
        </w:numPr>
        <w:spacing w:lineRule="auto"/>
      </w:pPr>
      <w:r>
        <w:rPr/>
        <w:t xml:space="preserve">W-02 24/7 Monitoring &amp; IR: P1 MTTA &lt;15 min en MTTR &lt;4 uur, maandelijkse rapportage en kwartaal-verbeteracties; bewijs: SIEM/ITSM-metrics.</w:t>
      </w:r>
    </w:p>
    <w:p>
      <w:pPr>
        <w:numPr>
          <w:ilvl w:val="0"/>
          <w:numId w:val="20"/>
        </w:numPr>
        <w:spacing w:lineRule="auto"/>
      </w:pPr>
      <w:r>
        <w:rPr/>
        <w:t xml:space="preserve">W-03 Patch &amp; Vuln: ≥98% kritieke patches binnen 14 dagen (7 dagen voor CVSS ≥9 op kritische systemen); maandelijkse compliance-review; bewijs: Intune/WSUS + scanrapporten.</w:t>
      </w:r>
    </w:p>
    <w:p>
      <w:pPr>
        <w:numPr>
          <w:ilvl w:val="0"/>
          <w:numId w:val="20"/>
        </w:numPr>
        <w:spacing w:lineRule="auto"/>
      </w:pPr>
      <w:r>
        <w:rPr/>
        <w:t xml:space="preserve">W-04 M365 &amp; Endpoint: 100% MFA, Secure Score +15 punten YoY, 0 onbeheerde devices; kwartaal-governance; bewijs: Entra ID, Secure Score.</w:t>
      </w:r>
    </w:p>
    <w:p>
      <w:pPr>
        <w:numPr>
          <w:ilvl w:val="0"/>
          <w:numId w:val="20"/>
        </w:numPr>
        <w:spacing w:lineRule="auto"/>
      </w:pPr>
      <w:r>
        <w:rPr/>
        <w:t xml:space="preserve">W-05 Continuïteit &amp; DR: Jaarlijks minimaal 1 end-to-end DR-test met RTO ≤4h en RPO ≤1h voor kernsystemen; bewijs: testrapport.</w:t>
      </w:r>
    </w:p>
    <w:p>
      <w:pPr>
        <w:numPr>
          <w:ilvl w:val="0"/>
          <w:numId w:val="20"/>
        </w:numPr>
        <w:spacing w:lineRule="auto"/>
      </w:pPr>
      <w:r>
        <w:rPr/>
        <w:t xml:space="preserve">W-06 Serviceverbetering: CSAT ≥8,5/10 en incidentreductie ≥20% YoY door probleembeheer; bewijs: CSAT- en trendrapporten.</w:t>
      </w:r>
    </w:p>
    <w:p>
      <w:pPr>
        <w:spacing w:lineRule="auto"/>
      </w:pPr>
      <w:r>
        <w:rPr/>
        <w:t xml:space="preserve">Risicobeheersing (selectie, gekoppeld aan referenties)</w:t>
      </w:r>
    </w:p>
    <w:p>
      <w:pPr>
        <w:numPr>
          <w:ilvl w:val="0"/>
          <w:numId w:val="21"/>
        </w:numPr>
        <w:spacing w:lineRule="auto"/>
      </w:pPr>
      <w:r>
        <w:rPr/>
        <w:t xml:space="preserve">Personele 24/7-dekking: mitigatie via NOC/SOC-roosters en escalatiepiramide; KPI P1-responstijd; bewijs: roosters + SIEM.</w:t>
      </w:r>
    </w:p>
    <w:p>
      <w:pPr>
        <w:numPr>
          <w:ilvl w:val="0"/>
          <w:numId w:val="21"/>
        </w:numPr>
        <w:spacing w:lineRule="auto"/>
      </w:pPr>
      <w:r>
        <w:rPr/>
        <w:t xml:space="preserve">Zero-day kwetsbaarheden: mitigatie via EDR, virtuele patching, versnelde change; KPI patch SLA; bewijs: EDR-policy, change-logs.</w:t>
      </w:r>
    </w:p>
    <w:p>
      <w:pPr>
        <w:numPr>
          <w:ilvl w:val="0"/>
          <w:numId w:val="21"/>
        </w:numPr>
        <w:spacing w:lineRule="auto"/>
      </w:pPr>
      <w:r>
        <w:rPr/>
        <w:t xml:space="preserve">Dataverlies/uitval: mitigatie via BCP/DR en back-up immutable; KPI RTO/RPO; bewijs: DR-rapport, restore-tests.</w:t>
      </w:r>
    </w:p>
    <w:p>
      <w:pPr>
        <w:numPr>
          <w:ilvl w:val="0"/>
          <w:numId w:val="21"/>
        </w:numPr>
        <w:spacing w:lineRule="auto"/>
      </w:pPr>
      <w:r>
        <w:rPr/>
        <w:t xml:space="preserve">Niet-EU dataflow: mitigatie via DPA/DPIA en geo-afdwinging; KPI 100% EU-data; bewijs: DPIA, contractclausules.</w:t>
      </w:r>
    </w:p>
    <w:p>
      <w:pPr>
        <w:spacing w:lineRule="auto"/>
      </w:pPr>
      <w:r>
        <w:rPr/>
        <w:t xml:space="preserve">Contact Digital Ease (voor verificatie referenties)</w:t>
      </w:r>
    </w:p>
    <w:p>
      <w:pPr>
        <w:numPr>
          <w:ilvl w:val="0"/>
          <w:numId w:val="22"/>
        </w:numPr>
        <w:spacing w:lineRule="auto"/>
      </w:pPr>
      <w:r>
        <w:rPr/>
        <w:t xml:space="preserve">Tenderdesk: </w:t>
      </w:r>
      <w:hyperlink r:id="rId10">
        <w:r>
          <w:rPr>
            <w:rStyle w:val="Hyperlink"/>
          </w:rPr>
          <w:t xml:space="preserve">tenders@digitalease.nl</w:t>
        </w:r>
      </w:hyperlink>
      <w:r>
        <w:rPr/>
        <w:t xml:space="preserve"> | +31 20 123 45 67</w:t>
      </w:r>
    </w:p>
    <w:p>
      <w:pPr>
        <w:numPr>
          <w:ilvl w:val="0"/>
          <w:numId w:val="22"/>
        </w:numPr>
        <w:spacing w:lineRule="auto"/>
      </w:pPr>
      <w:r>
        <w:rPr/>
        <w:t xml:space="preserve">Bezoekadres: Innovatieplein 12, 1234 AB Amsterdam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3"/>
        </w:numPr>
        <w:spacing w:lineRule="auto"/>
      </w:pPr>
      <w:r>
        <w:rPr/>
        <w:t xml:space="preserve">Bevestiging van naamgeving referentie-opdrachtgevers en toestemming voor opname in inschrijving (AVG/vertrouwelijkheid).</w:t>
      </w:r>
    </w:p>
    <w:p>
      <w:pPr>
        <w:numPr>
          <w:ilvl w:val="0"/>
          <w:numId w:val="23"/>
        </w:numPr>
        <w:spacing w:lineRule="auto"/>
      </w:pPr>
      <w:r>
        <w:rPr/>
        <w:t xml:space="preserve">Verificatie en/of aanpassing van contactpersonen, telefoonnummers en e-mailadressen.</w:t>
      </w:r>
    </w:p>
    <w:p>
      <w:pPr>
        <w:numPr>
          <w:ilvl w:val="0"/>
          <w:numId w:val="23"/>
        </w:numPr>
        <w:spacing w:lineRule="auto"/>
      </w:pPr>
      <w:r>
        <w:rPr/>
        <w:t xml:space="preserve">Eventuele contractwaarden/LOA’s en referentieverklaringen (PDF) ter onderbouwing.</w:t>
      </w:r>
    </w:p>
    <w:p>
      <w:pPr>
        <w:numPr>
          <w:ilvl w:val="0"/>
          <w:numId w:val="23"/>
        </w:numPr>
        <w:spacing w:lineRule="auto"/>
      </w:pPr>
      <w:r>
        <w:rPr/>
        <w:t xml:space="preserve">Optioneel: specifieke KPI-rapportages (geanonimiseerd) die we mogen bijvoegen als bewijs.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.vermeer@zuidpoort.nl" TargetMode="External"/>
  <Relationship Id="rId7" Type="http://schemas.openxmlformats.org/officeDocument/2006/relationships/hyperlink" Target="mailto:m.vos@hsdelta.nl" TargetMode="External"/>
  <Relationship Id="rId8" Type="http://schemas.openxmlformats.org/officeDocument/2006/relationships/hyperlink" Target="mailto:p.deruiter@vrnw.nl" TargetMode="External"/>
  <Relationship Id="rId9" Type="http://schemas.openxmlformats.org/officeDocument/2006/relationships/hyperlink" Target="mailto:s.dammers@prijnland.nl" TargetMode="External"/>
  <Relationship Id="rId10" Type="http://schemas.openxmlformats.org/officeDocument/2006/relationships/hyperlink" Target="mailto:tenders@digitalease.nl" TargetMode="External"/>
  <Relationship Id="rId11" Type="http://schemas.openxmlformats.org/officeDocument/2006/relationships/header" Target="header1.xml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