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README — Lees Mij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README — Inschrijfpakket Digital Ease B.V. (ref. GV-IT-2026-001)</w:t>
      </w:r>
    </w:p>
    <w:p>
      <w:pPr>
        <w:spacing w:lineRule="auto"/>
      </w:pPr>
      <w:r>
        <w:rPr/>
        <w:t xml:space="preserve">Doel</w:t>
      </w:r>
    </w:p>
    <w:p>
      <w:pPr>
        <w:numPr>
          <w:ilvl w:val="0"/>
          <w:numId w:val="1"/>
        </w:numPr>
        <w:spacing w:lineRule="auto"/>
      </w:pPr>
      <w:r>
        <w:rPr/>
        <w:t xml:space="preserve">Snel overzicht bieden van doel, inhoud en werkwijze van deze inschrijving.</w:t>
      </w:r>
    </w:p>
    <w:p>
      <w:pPr>
        <w:numPr>
          <w:ilvl w:val="0"/>
          <w:numId w:val="1"/>
        </w:numPr>
        <w:spacing w:lineRule="auto"/>
      </w:pPr>
      <w:r>
        <w:rPr/>
        <w:t xml:space="preserve">Toelichten hoe de documenten samen PDCA, SMART-doelen en EMVI-criteria afdekken.</w:t>
      </w:r>
    </w:p>
    <w:p>
      <w:pPr>
        <w:numPr>
          <w:ilvl w:val="0"/>
          <w:numId w:val="1"/>
        </w:numPr>
        <w:spacing w:lineRule="auto"/>
      </w:pPr>
      <w:r>
        <w:rPr/>
        <w:t xml:space="preserve">Kruisverbanden tonen tussen eisen (W-xx), KPI’s, risico’s en bewijs.</w:t>
      </w:r>
    </w:p>
    <w:p>
      <w:pPr>
        <w:spacing w:lineRule="auto"/>
      </w:pPr>
      <w:r>
        <w:rPr/>
        <w:t xml:space="preserve">Wat u ontvangt (inhoud en structuur)</w:t>
      </w:r>
    </w:p>
    <w:p>
      <w:pPr>
        <w:numPr>
          <w:ilvl w:val="0"/>
          <w:numId w:val="2"/>
        </w:numPr>
        <w:spacing w:lineRule="auto"/>
      </w:pPr>
      <w:r>
        <w:rPr/>
        <w:t xml:space="preserve">Plan van Aanpak (PvA)</w:t>
      </w:r>
    </w:p>
    <w:p>
      <w:pPr>
        <w:numPr>
          <w:ilvl w:val="1"/>
          <w:numId w:val="3"/>
        </w:numPr>
        <w:spacing w:lineRule="auto"/>
      </w:pPr>
      <w:r>
        <w:rPr/>
        <w:t xml:space="preserve">Scope, governance, rollen, communicatie.</w:t>
      </w:r>
    </w:p>
    <w:p>
      <w:pPr>
        <w:numPr>
          <w:ilvl w:val="1"/>
          <w:numId w:val="3"/>
        </w:numPr>
        <w:spacing w:lineRule="auto"/>
      </w:pPr>
      <w:r>
        <w:rPr/>
        <w:t xml:space="preserve">ITIL-servicedesk, incident- en changeproces (incl. escalaties).</w:t>
      </w:r>
    </w:p>
    <w:p>
      <w:pPr>
        <w:numPr>
          <w:ilvl w:val="1"/>
          <w:numId w:val="3"/>
        </w:numPr>
        <w:spacing w:lineRule="auto"/>
      </w:pPr>
      <w:r>
        <w:rPr/>
        <w:t xml:space="preserve">Monitoring en patchmanagement end-to-end.</w:t>
      </w:r>
    </w:p>
    <w:p>
      <w:pPr>
        <w:numPr>
          <w:ilvl w:val="1"/>
          <w:numId w:val="3"/>
        </w:numPr>
        <w:spacing w:lineRule="auto"/>
      </w:pPr>
      <w:r>
        <w:rPr/>
        <w:t xml:space="preserve">EU-dataverwerking, securitymaatregelen (ISO/NEN).</w:t>
      </w:r>
    </w:p>
    <w:p>
      <w:pPr>
        <w:numPr>
          <w:ilvl w:val="1"/>
          <w:numId w:val="3"/>
        </w:numPr>
        <w:spacing w:lineRule="auto"/>
      </w:pPr>
      <w:r>
        <w:rPr/>
        <w:t xml:space="preserve">Continuïteitsplan (BCP) en test-/oefenregime.</w:t>
      </w:r>
    </w:p>
    <w:p>
      <w:pPr>
        <w:numPr>
          <w:ilvl w:val="1"/>
          <w:numId w:val="3"/>
        </w:numPr>
        <w:spacing w:lineRule="auto"/>
      </w:pPr>
      <w:r>
        <w:rPr/>
        <w:t xml:space="preserve">Ondersteuning Microsoft 365 en integraties.</w:t>
      </w:r>
    </w:p>
    <w:p>
      <w:pPr>
        <w:numPr>
          <w:ilvl w:val="1"/>
          <w:numId w:val="3"/>
        </w:numPr>
        <w:spacing w:lineRule="auto"/>
      </w:pPr>
      <w:r>
        <w:rPr/>
        <w:t xml:space="preserve">Duurzaamheidsaanpak in uitvoering en leveranciersketen.</w:t>
      </w:r>
    </w:p>
    <w:p>
      <w:pPr>
        <w:numPr>
          <w:ilvl w:val="0"/>
          <w:numId w:val="2"/>
        </w:numPr>
        <w:spacing w:lineRule="auto"/>
      </w:pPr>
      <w:r>
        <w:rPr/>
        <w:t xml:space="preserve">Risicodossier</w:t>
      </w:r>
    </w:p>
    <w:p>
      <w:pPr>
        <w:numPr>
          <w:ilvl w:val="1"/>
          <w:numId w:val="4"/>
        </w:numPr>
        <w:spacing w:lineRule="auto"/>
      </w:pPr>
      <w:r>
        <w:rPr/>
        <w:t xml:space="preserve">Toprisico’s met oorzaken, impact, kans, maatregelen, eigenaar en rest-risico.</w:t>
      </w:r>
    </w:p>
    <w:p>
      <w:pPr>
        <w:numPr>
          <w:ilvl w:val="1"/>
          <w:numId w:val="4"/>
        </w:numPr>
        <w:spacing w:lineRule="auto"/>
      </w:pPr>
      <w:r>
        <w:rPr/>
        <w:t xml:space="preserve">PDCA-verbeteracties, reviewfrequentie en escalatiemechanisme.</w:t>
      </w:r>
    </w:p>
    <w:p>
      <w:pPr>
        <w:numPr>
          <w:ilvl w:val="0"/>
          <w:numId w:val="2"/>
        </w:numPr>
        <w:spacing w:lineRule="auto"/>
      </w:pPr>
      <w:r>
        <w:rPr/>
        <w:t xml:space="preserve">KPI-overzicht</w:t>
      </w:r>
    </w:p>
    <w:p>
      <w:pPr>
        <w:numPr>
          <w:ilvl w:val="1"/>
          <w:numId w:val="5"/>
        </w:numPr>
        <w:spacing w:lineRule="auto"/>
      </w:pPr>
      <w:r>
        <w:rPr/>
        <w:t xml:space="preserve">Definities, targets, meetmethode, bron, eigenaar, rapportagefrequentie.</w:t>
      </w:r>
    </w:p>
    <w:p>
      <w:pPr>
        <w:numPr>
          <w:ilvl w:val="1"/>
          <w:numId w:val="5"/>
        </w:numPr>
        <w:spacing w:lineRule="auto"/>
      </w:pPr>
      <w:r>
        <w:rPr/>
        <w:t xml:space="preserve">Relatie naar eisen en SLA’s, incl. signaaldrempels en Act-triggers.</w:t>
      </w:r>
    </w:p>
    <w:p>
      <w:pPr>
        <w:spacing w:lineRule="auto"/>
      </w:pPr>
      <w:r>
        <w:rPr/>
        <w:t xml:space="preserve">Context opdracht</w:t>
      </w:r>
    </w:p>
    <w:p>
      <w:pPr>
        <w:numPr>
          <w:ilvl w:val="0"/>
          <w:numId w:val="6"/>
        </w:numPr>
        <w:spacing w:lineRule="auto"/>
      </w:pPr>
      <w:r>
        <w:rPr/>
        <w:t xml:space="preserve">Referentie: GV-IT-2026-001.</w:t>
      </w:r>
    </w:p>
    <w:p>
      <w:pPr>
        <w:numPr>
          <w:ilvl w:val="0"/>
          <w:numId w:val="6"/>
        </w:numPr>
        <w:spacing w:lineRule="auto"/>
      </w:pPr>
      <w:r>
        <w:rPr/>
        <w:t xml:space="preserve">Aanbestedende dienst: Gemeente Voorbeeldstad. Let op: titel bevat “Raamovereenkomst Catering- en Horecadiensten” (inconsistent met ICT-scope); zie Benodigde input.</w:t>
      </w:r>
    </w:p>
    <w:p>
      <w:pPr>
        <w:numPr>
          <w:ilvl w:val="0"/>
          <w:numId w:val="6"/>
        </w:numPr>
        <w:spacing w:lineRule="auto"/>
      </w:pPr>
      <w:r>
        <w:rPr/>
        <w:t xml:space="preserve">Type: raamovereenkomst; sector: ICT.</w:t>
      </w:r>
    </w:p>
    <w:p>
      <w:pPr>
        <w:numPr>
          <w:ilvl w:val="0"/>
          <w:numId w:val="6"/>
        </w:numPr>
        <w:spacing w:lineRule="auto"/>
      </w:pPr>
      <w:r>
        <w:rPr/>
        <w:t xml:space="preserve">Gunning: EMVI.</w:t>
      </w:r>
    </w:p>
    <w:p>
      <w:pPr>
        <w:numPr>
          <w:ilvl w:val="1"/>
          <w:numId w:val="7"/>
        </w:numPr>
        <w:spacing w:lineRule="auto"/>
      </w:pPr>
      <w:r>
        <w:rPr/>
        <w:t xml:space="preserve">Kwaliteit 40% → PvA en aantoonbare procesbeheersing.</w:t>
      </w:r>
    </w:p>
    <w:p>
      <w:pPr>
        <w:numPr>
          <w:ilvl w:val="1"/>
          <w:numId w:val="7"/>
        </w:numPr>
        <w:spacing w:lineRule="auto"/>
      </w:pPr>
      <w:r>
        <w:rPr/>
        <w:t xml:space="preserve">Duurzaamheid 20% → PvA-paragraaf Duurzaamheid.</w:t>
      </w:r>
    </w:p>
    <w:p>
      <w:pPr>
        <w:numPr>
          <w:ilvl w:val="1"/>
          <w:numId w:val="7"/>
        </w:numPr>
        <w:spacing w:lineRule="auto"/>
      </w:pPr>
      <w:r>
        <w:rPr/>
        <w:t xml:space="preserve">Risicobeheersing 20% → Risicodossier + PDCA.</w:t>
      </w:r>
    </w:p>
    <w:p>
      <w:pPr>
        <w:numPr>
          <w:ilvl w:val="1"/>
          <w:numId w:val="7"/>
        </w:numPr>
        <w:spacing w:lineRule="auto"/>
      </w:pPr>
      <w:r>
        <w:rPr/>
        <w:t xml:space="preserve">Prijs 20% → prijshoofdstuk PvA (tarieven vast; zie Randvoorwaarden).</w:t>
      </w:r>
    </w:p>
    <w:p>
      <w:pPr>
        <w:numPr>
          <w:ilvl w:val="0"/>
          <w:numId w:val="6"/>
        </w:numPr>
        <w:spacing w:lineRule="auto"/>
      </w:pPr>
      <w:r>
        <w:rPr/>
        <w:t xml:space="preserve">Indiening: 2026-01-20.</w:t>
      </w:r>
    </w:p>
    <w:p>
      <w:pPr>
        <w:spacing w:lineRule="auto"/>
      </w:pPr>
      <w:r>
        <w:rPr/>
        <w:t xml:space="preserve">Hoe te lezen (PDCA-gericht)</w:t>
      </w:r>
    </w:p>
    <w:p>
      <w:pPr>
        <w:numPr>
          <w:ilvl w:val="0"/>
          <w:numId w:val="8"/>
        </w:numPr>
        <w:spacing w:lineRule="auto"/>
      </w:pPr>
      <w:r>
        <w:rPr/>
        <w:t xml:space="preserve">Plan: lees eerst PvA voor scope, processen, verantwoordelijkheden en werkafspraken.</w:t>
      </w:r>
    </w:p>
    <w:p>
      <w:pPr>
        <w:numPr>
          <w:ilvl w:val="0"/>
          <w:numId w:val="8"/>
        </w:numPr>
        <w:spacing w:lineRule="auto"/>
      </w:pPr>
      <w:r>
        <w:rPr/>
        <w:t xml:space="preserve">Do: bekijk uitvoeringsparagrafen PvA (servicedesk, monitoring, patching, M365).</w:t>
      </w:r>
    </w:p>
    <w:p>
      <w:pPr>
        <w:numPr>
          <w:ilvl w:val="0"/>
          <w:numId w:val="8"/>
        </w:numPr>
        <w:spacing w:lineRule="auto"/>
      </w:pPr>
      <w:r>
        <w:rPr/>
        <w:t xml:space="preserve">Check: raadpleeg KPI-overzicht (targets, meetwijze, rapportage).</w:t>
      </w:r>
    </w:p>
    <w:p>
      <w:pPr>
        <w:numPr>
          <w:ilvl w:val="0"/>
          <w:numId w:val="8"/>
        </w:numPr>
        <w:spacing w:lineRule="auto"/>
      </w:pPr>
      <w:r>
        <w:rPr/>
        <w:t xml:space="preserve">Act: open Risicodossier (maatregelen, verbeteracties, escalaties); verbeteragenda wordt maandelijks geactualiseerd op basis van KPI-trends en incidentpost-mortems.</w:t>
      </w:r>
    </w:p>
    <w:p>
      <w:pPr>
        <w:spacing w:lineRule="auto"/>
      </w:pPr>
      <w:r>
        <w:rPr/>
        <w:t xml:space="preserve">Kruisverbanden Eisen (W-xx) ↔ KPI ↔ Risico ↔ Bewijs</w:t>
      </w:r>
    </w:p>
    <w:p>
      <w:pPr>
        <w:numPr>
          <w:ilvl w:val="0"/>
          <w:numId w:val="9"/>
        </w:numPr>
        <w:spacing w:lineRule="auto"/>
      </w:pPr>
      <w:r>
        <w:rPr/>
        <w:t xml:space="preserve">W-01 ISO 27001 gecertificeerd</w:t>
      </w:r>
    </w:p>
    <w:p>
      <w:pPr>
        <w:numPr>
          <w:ilvl w:val="1"/>
          <w:numId w:val="10"/>
        </w:numPr>
        <w:spacing w:lineRule="auto"/>
      </w:pPr>
      <w:r>
        <w:rPr/>
        <w:t xml:space="preserve">KPI: COM-01 Certificering geldig = 100%.</w:t>
      </w:r>
    </w:p>
    <w:p>
      <w:pPr>
        <w:numPr>
          <w:ilvl w:val="1"/>
          <w:numId w:val="10"/>
        </w:numPr>
        <w:spacing w:lineRule="auto"/>
      </w:pPr>
      <w:r>
        <w:rPr/>
        <w:t xml:space="preserve">Risico: R-04 Certificaat verloopt/afwijking.</w:t>
      </w:r>
    </w:p>
    <w:p>
      <w:pPr>
        <w:numPr>
          <w:ilvl w:val="1"/>
          <w:numId w:val="10"/>
        </w:numPr>
        <w:spacing w:lineRule="auto"/>
      </w:pPr>
      <w:r>
        <w:rPr/>
        <w:t xml:space="preserve">Bewijs: ISO 27001-certificering Digital Ease B.V. (opgenomen in PvA referenties).</w:t>
      </w:r>
    </w:p>
    <w:p>
      <w:pPr>
        <w:numPr>
          <w:ilvl w:val="0"/>
          <w:numId w:val="9"/>
        </w:numPr>
        <w:spacing w:lineRule="auto"/>
      </w:pPr>
      <w:r>
        <w:rPr/>
        <w:t xml:space="preserve">W-02 ISO 9001 gecertificeerd</w:t>
      </w:r>
    </w:p>
    <w:p>
      <w:pPr>
        <w:numPr>
          <w:ilvl w:val="1"/>
          <w:numId w:val="11"/>
        </w:numPr>
        <w:spacing w:lineRule="auto"/>
      </w:pPr>
      <w:r>
        <w:rPr/>
        <w:t xml:space="preserve">KPI: COM-02 Certificering geldig = 100%.</w:t>
      </w:r>
    </w:p>
    <w:p>
      <w:pPr>
        <w:numPr>
          <w:ilvl w:val="1"/>
          <w:numId w:val="11"/>
        </w:numPr>
        <w:spacing w:lineRule="auto"/>
      </w:pPr>
      <w:r>
        <w:rPr/>
        <w:t xml:space="preserve">Risico: R-04.</w:t>
      </w:r>
    </w:p>
    <w:p>
      <w:pPr>
        <w:numPr>
          <w:ilvl w:val="1"/>
          <w:numId w:val="11"/>
        </w:numPr>
        <w:spacing w:lineRule="auto"/>
      </w:pPr>
      <w:r>
        <w:rPr/>
        <w:t xml:space="preserve">Bewijs: ISO 9001-certificering.</w:t>
      </w:r>
    </w:p>
    <w:p>
      <w:pPr>
        <w:numPr>
          <w:ilvl w:val="0"/>
          <w:numId w:val="9"/>
        </w:numPr>
        <w:spacing w:lineRule="auto"/>
      </w:pPr>
      <w:r>
        <w:rPr/>
        <w:t xml:space="preserve">W-03 24/7 bereikbaarheidsdienst</w:t>
      </w:r>
    </w:p>
    <w:p>
      <w:pPr>
        <w:numPr>
          <w:ilvl w:val="1"/>
          <w:numId w:val="12"/>
        </w:numPr>
        <w:spacing w:lineRule="auto"/>
      </w:pPr>
      <w:r>
        <w:rPr/>
        <w:t xml:space="preserve">KPI: KPI-02 P1 responstijd &lt; 30 min; OPS-01 Bezetting 24/7 = 100%.</w:t>
      </w:r>
    </w:p>
    <w:p>
      <w:pPr>
        <w:numPr>
          <w:ilvl w:val="1"/>
          <w:numId w:val="12"/>
        </w:numPr>
        <w:spacing w:lineRule="auto"/>
      </w:pPr>
      <w:r>
        <w:rPr/>
        <w:t xml:space="preserve">Risico: R-01 Onvoldoende dekking.</w:t>
      </w:r>
    </w:p>
    <w:p>
      <w:pPr>
        <w:numPr>
          <w:ilvl w:val="1"/>
          <w:numId w:val="12"/>
        </w:numPr>
        <w:spacing w:lineRule="auto"/>
      </w:pPr>
      <w:r>
        <w:rPr/>
        <w:t xml:space="preserve">Bewijs: piketroosters en bereikbaarheidsprotocol (PvA).</w:t>
      </w:r>
    </w:p>
    <w:p>
      <w:pPr>
        <w:numPr>
          <w:ilvl w:val="0"/>
          <w:numId w:val="9"/>
        </w:numPr>
        <w:spacing w:lineRule="auto"/>
      </w:pPr>
      <w:r>
        <w:rPr/>
        <w:t xml:space="preserve">W-04 Responstijd P1 ≤ 30 min</w:t>
      </w:r>
    </w:p>
    <w:p>
      <w:pPr>
        <w:numPr>
          <w:ilvl w:val="1"/>
          <w:numId w:val="13"/>
        </w:numPr>
        <w:spacing w:lineRule="auto"/>
      </w:pPr>
      <w:r>
        <w:rPr/>
        <w:t xml:space="preserve">KPI: KPI-02.</w:t>
      </w:r>
    </w:p>
    <w:p>
      <w:pPr>
        <w:numPr>
          <w:ilvl w:val="1"/>
          <w:numId w:val="13"/>
        </w:numPr>
        <w:spacing w:lineRule="auto"/>
      </w:pPr>
      <w:r>
        <w:rPr/>
        <w:t xml:space="preserve">Risico: R-01.</w:t>
      </w:r>
    </w:p>
    <w:p>
      <w:pPr>
        <w:numPr>
          <w:ilvl w:val="1"/>
          <w:numId w:val="13"/>
        </w:numPr>
        <w:spacing w:lineRule="auto"/>
      </w:pPr>
      <w:r>
        <w:rPr/>
        <w:t xml:space="preserve">Bewijs: ITIL-incidentproces; monitoring/alerting (PvA).</w:t>
      </w:r>
    </w:p>
    <w:p>
      <w:pPr>
        <w:numPr>
          <w:ilvl w:val="0"/>
          <w:numId w:val="9"/>
        </w:numPr>
        <w:spacing w:lineRule="auto"/>
      </w:pPr>
      <w:r>
        <w:rPr/>
        <w:t xml:space="preserve">W-05 Beschikbaarheid ≥ 99,8%/maand</w:t>
      </w:r>
    </w:p>
    <w:p>
      <w:pPr>
        <w:numPr>
          <w:ilvl w:val="1"/>
          <w:numId w:val="14"/>
        </w:numPr>
        <w:spacing w:lineRule="auto"/>
      </w:pPr>
      <w:r>
        <w:rPr/>
        <w:t xml:space="preserve">KPI: KPI-01 Beschikbaarheid kritieke systemen.</w:t>
      </w:r>
    </w:p>
    <w:p>
      <w:pPr>
        <w:numPr>
          <w:ilvl w:val="1"/>
          <w:numId w:val="14"/>
        </w:numPr>
        <w:spacing w:lineRule="auto"/>
      </w:pPr>
      <w:r>
        <w:rPr/>
        <w:t xml:space="preserve">Risico: R-02 Onvoldoende monitoring/onderhoud.</w:t>
      </w:r>
    </w:p>
    <w:p>
      <w:pPr>
        <w:numPr>
          <w:ilvl w:val="1"/>
          <w:numId w:val="14"/>
        </w:numPr>
        <w:spacing w:lineRule="auto"/>
      </w:pPr>
      <w:r>
        <w:rPr/>
        <w:t xml:space="preserve">Bewijs: SLA-berekening en uptime-rapportage (KPI-overzicht).</w:t>
      </w:r>
    </w:p>
    <w:p>
      <w:pPr>
        <w:numPr>
          <w:ilvl w:val="0"/>
          <w:numId w:val="9"/>
        </w:numPr>
        <w:spacing w:lineRule="auto"/>
      </w:pPr>
      <w:r>
        <w:rPr/>
        <w:t xml:space="preserve">W-06 Monitoring &amp; patchmanagement geborgd</w:t>
      </w:r>
    </w:p>
    <w:p>
      <w:pPr>
        <w:numPr>
          <w:ilvl w:val="1"/>
          <w:numId w:val="15"/>
        </w:numPr>
        <w:spacing w:lineRule="auto"/>
      </w:pPr>
      <w:r>
        <w:rPr/>
        <w:t xml:space="preserve">KPI: SEC-01 Kritieke patches ≤ 7 dagen: ≥ 95%; SEC-02 MTTD ≤ 15 min.</w:t>
      </w:r>
    </w:p>
    <w:p>
      <w:pPr>
        <w:numPr>
          <w:ilvl w:val="1"/>
          <w:numId w:val="15"/>
        </w:numPr>
        <w:spacing w:lineRule="auto"/>
      </w:pPr>
      <w:r>
        <w:rPr/>
        <w:t xml:space="preserve">Risico: R-02.</w:t>
      </w:r>
    </w:p>
    <w:p>
      <w:pPr>
        <w:numPr>
          <w:ilvl w:val="1"/>
          <w:numId w:val="15"/>
        </w:numPr>
        <w:spacing w:lineRule="auto"/>
      </w:pPr>
      <w:r>
        <w:rPr/>
        <w:t xml:space="preserve">Bewijs: patchbeleid en toolingbeschrijving (PvA).</w:t>
      </w:r>
    </w:p>
    <w:p>
      <w:pPr>
        <w:numPr>
          <w:ilvl w:val="0"/>
          <w:numId w:val="9"/>
        </w:numPr>
        <w:spacing w:lineRule="auto"/>
      </w:pPr>
      <w:r>
        <w:rPr/>
        <w:t xml:space="preserve">W-07 ITIL-servicedeskprocessen</w:t>
      </w:r>
    </w:p>
    <w:p>
      <w:pPr>
        <w:numPr>
          <w:ilvl w:val="1"/>
          <w:numId w:val="16"/>
        </w:numPr>
        <w:spacing w:lineRule="auto"/>
      </w:pPr>
      <w:r>
        <w:rPr/>
        <w:t xml:space="preserve">KPI: SVC-01 SLA-naleving incidenten ≥ 95%; SVC-02 First Time Fix ≥ 70%.</w:t>
      </w:r>
    </w:p>
    <w:p>
      <w:pPr>
        <w:numPr>
          <w:ilvl w:val="1"/>
          <w:numId w:val="16"/>
        </w:numPr>
        <w:spacing w:lineRule="auto"/>
      </w:pPr>
      <w:r>
        <w:rPr/>
        <w:t xml:space="preserve">Risico: R-05 Procesafwijkingen.</w:t>
      </w:r>
    </w:p>
    <w:p>
      <w:pPr>
        <w:numPr>
          <w:ilvl w:val="1"/>
          <w:numId w:val="16"/>
        </w:numPr>
        <w:spacing w:lineRule="auto"/>
      </w:pPr>
      <w:r>
        <w:rPr/>
        <w:t xml:space="preserve">Bewijs: procesflows en RACI (PvA).</w:t>
      </w:r>
    </w:p>
    <w:p>
      <w:pPr>
        <w:numPr>
          <w:ilvl w:val="0"/>
          <w:numId w:val="9"/>
        </w:numPr>
        <w:spacing w:lineRule="auto"/>
      </w:pPr>
      <w:r>
        <w:rPr/>
        <w:t xml:space="preserve">W-08 Alle data binnen EU</w:t>
      </w:r>
    </w:p>
    <w:p>
      <w:pPr>
        <w:numPr>
          <w:ilvl w:val="1"/>
          <w:numId w:val="17"/>
        </w:numPr>
        <w:spacing w:lineRule="auto"/>
      </w:pPr>
      <w:r>
        <w:rPr/>
        <w:t xml:space="preserve">KPI: COM-03 Datageografie EU = 100%.</w:t>
      </w:r>
    </w:p>
    <w:p>
      <w:pPr>
        <w:numPr>
          <w:ilvl w:val="1"/>
          <w:numId w:val="17"/>
        </w:numPr>
        <w:spacing w:lineRule="auto"/>
      </w:pPr>
      <w:r>
        <w:rPr/>
        <w:t xml:space="preserve">Risico: R-03 Dataresidency schending.</w:t>
      </w:r>
    </w:p>
    <w:p>
      <w:pPr>
        <w:numPr>
          <w:ilvl w:val="1"/>
          <w:numId w:val="17"/>
        </w:numPr>
        <w:spacing w:lineRule="auto"/>
      </w:pPr>
      <w:r>
        <w:rPr/>
        <w:t xml:space="preserve">Bewijs: datacentermap en verwerkerslijst (PvA).</w:t>
      </w:r>
    </w:p>
    <w:p>
      <w:pPr>
        <w:numPr>
          <w:ilvl w:val="0"/>
          <w:numId w:val="9"/>
        </w:numPr>
        <w:spacing w:lineRule="auto"/>
      </w:pPr>
      <w:r>
        <w:rPr/>
        <w:t xml:space="preserve">W-09 Escalatieprocedure incidenten &amp; changes</w:t>
      </w:r>
    </w:p>
    <w:p>
      <w:pPr>
        <w:numPr>
          <w:ilvl w:val="1"/>
          <w:numId w:val="18"/>
        </w:numPr>
        <w:spacing w:lineRule="auto"/>
      </w:pPr>
      <w:r>
        <w:rPr/>
        <w:t xml:space="preserve">KPI: GOV-01 Escalaties volgens schema = 100%.</w:t>
      </w:r>
    </w:p>
    <w:p>
      <w:pPr>
        <w:numPr>
          <w:ilvl w:val="1"/>
          <w:numId w:val="18"/>
        </w:numPr>
        <w:spacing w:lineRule="auto"/>
      </w:pPr>
      <w:r>
        <w:rPr/>
        <w:t xml:space="preserve">Risico: R-05.</w:t>
      </w:r>
    </w:p>
    <w:p>
      <w:pPr>
        <w:numPr>
          <w:ilvl w:val="1"/>
          <w:numId w:val="18"/>
        </w:numPr>
        <w:spacing w:lineRule="auto"/>
      </w:pPr>
      <w:r>
        <w:rPr/>
        <w:t xml:space="preserve">Bewijs: escalatiematrix (PvA).</w:t>
      </w:r>
    </w:p>
    <w:p>
      <w:pPr>
        <w:numPr>
          <w:ilvl w:val="0"/>
          <w:numId w:val="9"/>
        </w:numPr>
        <w:spacing w:lineRule="auto"/>
      </w:pPr>
      <w:r>
        <w:rPr/>
        <w:t xml:space="preserve">W-10 Continuïteitsplan (BCP)</w:t>
      </w:r>
    </w:p>
    <w:p>
      <w:pPr>
        <w:numPr>
          <w:ilvl w:val="1"/>
          <w:numId w:val="19"/>
        </w:numPr>
        <w:spacing w:lineRule="auto"/>
      </w:pPr>
      <w:r>
        <w:rPr/>
        <w:t xml:space="preserve">KPI: BCP-01 Oefeningen ≥ 1/jaar; BCP-02 RTO/RPO gehaald = 100% in test.</w:t>
      </w:r>
    </w:p>
    <w:p>
      <w:pPr>
        <w:numPr>
          <w:ilvl w:val="1"/>
          <w:numId w:val="19"/>
        </w:numPr>
        <w:spacing w:lineRule="auto"/>
      </w:pPr>
      <w:r>
        <w:rPr/>
        <w:t xml:space="preserve">Risico: R-07 Onvoldoende herstelvermogen.</w:t>
      </w:r>
    </w:p>
    <w:p>
      <w:pPr>
        <w:numPr>
          <w:ilvl w:val="1"/>
          <w:numId w:val="19"/>
        </w:numPr>
        <w:spacing w:lineRule="auto"/>
      </w:pPr>
      <w:r>
        <w:rPr/>
        <w:t xml:space="preserve">Bewijs: BCP + testverslagen (PvA).</w:t>
      </w:r>
    </w:p>
    <w:p>
      <w:pPr>
        <w:numPr>
          <w:ilvl w:val="0"/>
          <w:numId w:val="9"/>
        </w:numPr>
        <w:spacing w:lineRule="auto"/>
      </w:pPr>
      <w:r>
        <w:rPr/>
        <w:t xml:space="preserve">W-11 VOG indien vereist</w:t>
      </w:r>
    </w:p>
    <w:p>
      <w:pPr>
        <w:numPr>
          <w:ilvl w:val="1"/>
          <w:numId w:val="20"/>
        </w:numPr>
        <w:spacing w:lineRule="auto"/>
      </w:pPr>
      <w:r>
        <w:rPr/>
        <w:t xml:space="preserve">KPI: HR-01 VOG op dossier = 100% voor vereiste functies.</w:t>
      </w:r>
    </w:p>
    <w:p>
      <w:pPr>
        <w:numPr>
          <w:ilvl w:val="1"/>
          <w:numId w:val="20"/>
        </w:numPr>
        <w:spacing w:lineRule="auto"/>
      </w:pPr>
      <w:r>
        <w:rPr/>
        <w:t xml:space="preserve">Risico: R-06 Niet-conforme toegang.</w:t>
      </w:r>
    </w:p>
    <w:p>
      <w:pPr>
        <w:numPr>
          <w:ilvl w:val="1"/>
          <w:numId w:val="20"/>
        </w:numPr>
        <w:spacing w:lineRule="auto"/>
      </w:pPr>
      <w:r>
        <w:rPr/>
        <w:t xml:space="preserve">Bewijs: HR-controleprocedure (PvA).</w:t>
      </w:r>
    </w:p>
    <w:p>
      <w:pPr>
        <w:numPr>
          <w:ilvl w:val="0"/>
          <w:numId w:val="9"/>
        </w:numPr>
        <w:spacing w:lineRule="auto"/>
      </w:pPr>
      <w:r>
        <w:rPr/>
        <w:t xml:space="preserve">W-12 Proactieve monitoring netwerk &amp; endpoints</w:t>
      </w:r>
    </w:p>
    <w:p>
      <w:pPr>
        <w:numPr>
          <w:ilvl w:val="1"/>
          <w:numId w:val="21"/>
        </w:numPr>
        <w:spacing w:lineRule="auto"/>
      </w:pPr>
      <w:r>
        <w:rPr/>
        <w:t xml:space="preserve">KPI: SEC-02 MTTD ≤ 15 min; SEC-03 MTTR P1 ≤ 4 uur (KPI-03).</w:t>
      </w:r>
    </w:p>
    <w:p>
      <w:pPr>
        <w:numPr>
          <w:ilvl w:val="1"/>
          <w:numId w:val="21"/>
        </w:numPr>
        <w:spacing w:lineRule="auto"/>
      </w:pPr>
      <w:r>
        <w:rPr/>
        <w:t xml:space="preserve">Risico: R-02.</w:t>
      </w:r>
    </w:p>
    <w:p>
      <w:pPr>
        <w:numPr>
          <w:ilvl w:val="1"/>
          <w:numId w:val="21"/>
        </w:numPr>
        <w:spacing w:lineRule="auto"/>
      </w:pPr>
      <w:r>
        <w:rPr/>
        <w:t xml:space="preserve">Bewijs: monitoringarchitectuur (PvA).</w:t>
      </w:r>
    </w:p>
    <w:p>
      <w:pPr>
        <w:numPr>
          <w:ilvl w:val="0"/>
          <w:numId w:val="9"/>
        </w:numPr>
        <w:spacing w:lineRule="auto"/>
      </w:pPr>
      <w:r>
        <w:rPr/>
        <w:t xml:space="preserve">W-13 Ondersteuning Microsoft 365</w:t>
      </w:r>
    </w:p>
    <w:p>
      <w:pPr>
        <w:numPr>
          <w:ilvl w:val="1"/>
          <w:numId w:val="22"/>
        </w:numPr>
        <w:spacing w:lineRule="auto"/>
      </w:pPr>
      <w:r>
        <w:rPr/>
        <w:t xml:space="preserve">KPI: CHG-01 Changes succesvol ≥ 98%.</w:t>
      </w:r>
    </w:p>
    <w:p>
      <w:pPr>
        <w:numPr>
          <w:ilvl w:val="1"/>
          <w:numId w:val="22"/>
        </w:numPr>
        <w:spacing w:lineRule="auto"/>
      </w:pPr>
      <w:r>
        <w:rPr/>
        <w:t xml:space="preserve">Risico: R-08 Configuratiefouten.</w:t>
      </w:r>
    </w:p>
    <w:p>
      <w:pPr>
        <w:numPr>
          <w:ilvl w:val="1"/>
          <w:numId w:val="22"/>
        </w:numPr>
        <w:spacing w:lineRule="auto"/>
      </w:pPr>
      <w:r>
        <w:rPr/>
        <w:t xml:space="preserve">Bewijs: Microsoft Solutions Partner – Modern Work; runbooks (PvA).</w:t>
      </w:r>
    </w:p>
    <w:p>
      <w:pPr>
        <w:spacing w:lineRule="auto"/>
      </w:pPr>
      <w:r>
        <w:rPr/>
        <w:t xml:space="preserve">Randvoorwaarden</w:t>
      </w:r>
    </w:p>
    <w:p>
      <w:pPr>
        <w:numPr>
          <w:ilvl w:val="0"/>
          <w:numId w:val="23"/>
        </w:numPr>
        <w:spacing w:lineRule="auto"/>
      </w:pPr>
      <w:r>
        <w:rPr/>
        <w:t xml:space="preserve">Assumpties (o.a.): tijdige toegang/informatie; locaties toegankelijk binnen kantoortijden; besluitvorming binnen termijnen; netwerkinfrastructuur voldoet; licenties rechtmatig.</w:t>
      </w:r>
    </w:p>
    <w:p>
      <w:pPr>
        <w:numPr>
          <w:ilvl w:val="0"/>
          <w:numId w:val="23"/>
        </w:numPr>
        <w:spacing w:lineRule="auto"/>
      </w:pPr>
      <w:r>
        <w:rPr/>
        <w:t xml:space="preserve">Uitsluitingen (o.a.): onsite hardwarebeheer buiten scope tenzij overeengekomen; third-party SaaS support beperkt; projecten buiten regulier beheer apart; meerwerk separaat; adoptie/training op verzoek.</w:t>
      </w:r>
    </w:p>
    <w:p>
      <w:pPr>
        <w:numPr>
          <w:ilvl w:val="0"/>
          <w:numId w:val="23"/>
        </w:numPr>
        <w:spacing w:lineRule="auto"/>
      </w:pPr>
      <w:r>
        <w:rPr/>
        <w:t xml:space="preserve">Prijsbeleid: tarieven vergrendeld (pricing_locked = true).</w:t>
      </w:r>
    </w:p>
    <w:p>
      <w:pPr>
        <w:numPr>
          <w:ilvl w:val="0"/>
          <w:numId w:val="23"/>
        </w:numPr>
        <w:spacing w:lineRule="auto"/>
      </w:pPr>
      <w:r>
        <w:rPr/>
        <w:t xml:space="preserve">Garantie: 12 maanden op geleverde diensten/werkpakketten zoals gespecificeerd.</w:t>
      </w:r>
    </w:p>
    <w:p>
      <w:pPr>
        <w:spacing w:lineRule="auto"/>
      </w:pPr>
      <w:r>
        <w:rPr/>
        <w:t xml:space="preserve">Organisatiegegevens inschrijver</w:t>
      </w:r>
    </w:p>
    <w:p>
      <w:pPr>
        <w:numPr>
          <w:ilvl w:val="0"/>
          <w:numId w:val="24"/>
        </w:numPr>
        <w:spacing w:lineRule="auto"/>
      </w:pPr>
      <w:r>
        <w:rPr/>
        <w:t xml:space="preserve">Digital Ease B.V., KvK 88392011, BTW NL004589230B12.</w:t>
      </w:r>
    </w:p>
    <w:p>
      <w:pPr>
        <w:numPr>
          <w:ilvl w:val="0"/>
          <w:numId w:val="24"/>
        </w:numPr>
        <w:spacing w:lineRule="auto"/>
      </w:pPr>
      <w:r>
        <w:rPr/>
        <w:t xml:space="preserve">Adres: Innovatieplein 12, 1234 AB Amsterdam.</w:t>
      </w:r>
    </w:p>
    <w:p>
      <w:pPr>
        <w:numPr>
          <w:ilvl w:val="0"/>
          <w:numId w:val="24"/>
        </w:numPr>
        <w:spacing w:lineRule="auto"/>
      </w:pPr>
      <w:r>
        <w:rPr/>
        <w:t xml:space="preserve">Certificeringen/competenties: ISO 27001, ISO 9001, NEN 7510, Microsoft Solutions Partner – Modern Work, Fortinet NSE4.</w:t>
      </w:r>
    </w:p>
    <w:p>
      <w:pPr>
        <w:numPr>
          <w:ilvl w:val="0"/>
          <w:numId w:val="24"/>
        </w:numPr>
        <w:spacing w:lineRule="auto"/>
      </w:pPr>
      <w:r>
        <w:rPr/>
        <w:t xml:space="preserve">Partners: IT Infra Group, SecureOps NL.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5"/>
        </w:numPr>
        <w:spacing w:lineRule="auto"/>
      </w:pPr>
      <w:r>
        <w:rPr/>
        <w:t xml:space="preserve">Bevestig correcte opdrachtnaam en aanbestedende dienst (titel “Catering- en Horecadiensten” vs ICT-scope, Voorbeeldstad vs Middenstad).</w:t>
      </w:r>
    </w:p>
    <w:p>
      <w:pPr>
        <w:numPr>
          <w:ilvl w:val="0"/>
          <w:numId w:val="25"/>
        </w:numPr>
        <w:spacing w:lineRule="auto"/>
      </w:pPr>
      <w:r>
        <w:rPr/>
        <w:t xml:space="preserve">Ingangsdatum en looptijd raamovereenkomst (execution window).</w:t>
      </w:r>
    </w:p>
    <w:p>
      <w:pPr>
        <w:numPr>
          <w:ilvl w:val="0"/>
          <w:numId w:val="25"/>
        </w:numPr>
        <w:spacing w:lineRule="auto"/>
      </w:pPr>
      <w:r>
        <w:rPr/>
        <w:t xml:space="preserve">Overzicht locaties en specifieke toegangseisen/site constraints (indien van toepassing).</w:t>
      </w:r>
    </w:p>
    <w:p>
      <w:pPr>
        <w:numPr>
          <w:ilvl w:val="0"/>
          <w:numId w:val="25"/>
        </w:numPr>
        <w:spacing w:lineRule="auto"/>
      </w:pPr>
      <w:r>
        <w:rPr/>
        <w:t xml:space="preserve">Servicevensters voor niet-P1 (standaard responstijden/oplostijden, onderhoudsvensters, change freeze).</w:t>
      </w:r>
    </w:p>
    <w:p>
      <w:pPr>
        <w:numPr>
          <w:ilvl w:val="0"/>
          <w:numId w:val="25"/>
        </w:numPr>
        <w:spacing w:lineRule="auto"/>
      </w:pPr>
      <w:r>
        <w:rPr/>
        <w:t xml:space="preserve">Bestaande tooling/integra­ties (monitoring/ITSM) en voorkeuren voor rapportageformat/frequentie.</w:t>
      </w:r>
    </w:p>
    <w:p>
      <w:pPr>
        <w:numPr>
          <w:ilvl w:val="0"/>
          <w:numId w:val="25"/>
        </w:numPr>
        <w:spacing w:lineRule="auto"/>
      </w:pPr>
      <w:r>
        <w:rPr/>
        <w:t xml:space="preserve">Kritieke systemen en scopegrenzen voor KPI “Beschikbaarheid” (systeemlijst en meetmethode).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— Lees Mij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