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Risicoregister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Risicoregister – Raamovereenkomst Catering- en Horecadiensten voor Gemeente Middenstad (referentie: GV-IT-2026-001) – Digital Ease B.V.</w:t>
      </w:r>
    </w:p>
    <w:p>
      <w:pPr>
        <w:spacing w:lineRule="auto"/>
      </w:pPr>
      <w:r>
        <w:rPr/>
        <w:t xml:space="preserve">Toelichting en aanpak</w:t>
      </w:r>
    </w:p>
    <w:p>
      <w:pPr>
        <w:numPr>
          <w:ilvl w:val="0"/>
          <w:numId w:val="1"/>
        </w:numPr>
        <w:spacing w:lineRule="auto"/>
      </w:pPr>
      <w:r>
        <w:rPr/>
        <w:t xml:space="preserve">Doel: het structureel beheersen van contract- en uitvoeringsrisico’s die de beschikbaarheid (99,8%), responstijden (&lt;30 min) en oplostijden (&lt;4 uur) kunnen beïnvloeden, conform EMVI-criterium Risicobeheersing.</w:t>
      </w:r>
    </w:p>
    <w:p>
      <w:pPr>
        <w:numPr>
          <w:ilvl w:val="0"/>
          <w:numId w:val="1"/>
        </w:numPr>
        <w:spacing w:lineRule="auto"/>
      </w:pPr>
      <w:r>
        <w:rPr/>
        <w:t xml:space="preserve">Scope: 24/7 beheer-, monitoring- en supportdiensten voor kritieke systemen en Microsoft 365, inclusief security en continuïteit, met dataverwerking binnen de EU.</w:t>
      </w:r>
    </w:p>
    <w:p>
      <w:pPr>
        <w:numPr>
          <w:ilvl w:val="0"/>
          <w:numId w:val="1"/>
        </w:numPr>
        <w:spacing w:lineRule="auto"/>
      </w:pPr>
      <w:r>
        <w:rPr/>
        <w:t xml:space="preserve">Werkwijze: elk risico is voorzien van SMART-maatregelen in PDCA-cyclus, gekoppeld aan KPI’s en onderliggende werkpakketten (W-xx), met expliciete bewijsvoering.</w:t>
      </w:r>
    </w:p>
    <w:p>
      <w:pPr>
        <w:spacing w:lineRule="auto"/>
      </w:pPr>
      <w:r>
        <w:rPr/>
        <w:t xml:space="preserve">Werkpakketten (W-xx) voor kruisverwijzing</w:t>
      </w:r>
    </w:p>
    <w:p>
      <w:pPr>
        <w:numPr>
          <w:ilvl w:val="0"/>
          <w:numId w:val="2"/>
        </w:numPr>
        <w:spacing w:lineRule="auto"/>
      </w:pPr>
      <w:r>
        <w:rPr/>
        <w:t xml:space="preserve">W-01 Intake &amp; Onboarding</w:t>
      </w:r>
    </w:p>
    <w:p>
      <w:pPr>
        <w:numPr>
          <w:ilvl w:val="0"/>
          <w:numId w:val="2"/>
        </w:numPr>
        <w:spacing w:lineRule="auto"/>
      </w:pPr>
      <w:r>
        <w:rPr/>
        <w:t xml:space="preserve">W-02 Proactieve Monitoring &amp; Alerting</w:t>
      </w:r>
    </w:p>
    <w:p>
      <w:pPr>
        <w:numPr>
          <w:ilvl w:val="0"/>
          <w:numId w:val="2"/>
        </w:numPr>
        <w:spacing w:lineRule="auto"/>
      </w:pPr>
      <w:r>
        <w:rPr/>
        <w:t xml:space="preserve">W-03 Patch- &amp; Vulnerability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W-04 Incident- &amp; Major Incident Management (ITIL)</w:t>
      </w:r>
    </w:p>
    <w:p>
      <w:pPr>
        <w:numPr>
          <w:ilvl w:val="0"/>
          <w:numId w:val="2"/>
        </w:numPr>
        <w:spacing w:lineRule="auto"/>
      </w:pPr>
      <w:r>
        <w:rPr/>
        <w:t xml:space="preserve">W-05 Change &amp; Release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W-06 Continuïteitsmanagement (BCP/DR)</w:t>
      </w:r>
    </w:p>
    <w:p>
      <w:pPr>
        <w:numPr>
          <w:ilvl w:val="0"/>
          <w:numId w:val="2"/>
        </w:numPr>
        <w:spacing w:lineRule="auto"/>
      </w:pPr>
      <w:r>
        <w:rPr/>
        <w:t xml:space="preserve">W-07 Servicedesk 24/7 &amp; Escalatie</w:t>
      </w:r>
    </w:p>
    <w:p>
      <w:pPr>
        <w:numPr>
          <w:ilvl w:val="0"/>
          <w:numId w:val="2"/>
        </w:numPr>
        <w:spacing w:lineRule="auto"/>
      </w:pPr>
      <w:r>
        <w:rPr/>
        <w:t xml:space="preserve">W-08 Security Operations (EDR/MFA/Logging)</w:t>
      </w:r>
    </w:p>
    <w:p>
      <w:pPr>
        <w:numPr>
          <w:ilvl w:val="0"/>
          <w:numId w:val="2"/>
        </w:numPr>
        <w:spacing w:lineRule="auto"/>
      </w:pPr>
      <w:r>
        <w:rPr/>
        <w:t xml:space="preserve">W-09 Configuratie- &amp; Assetmanagement (CMDB)</w:t>
      </w:r>
    </w:p>
    <w:p>
      <w:pPr>
        <w:numPr>
          <w:ilvl w:val="0"/>
          <w:numId w:val="2"/>
        </w:numPr>
        <w:spacing w:lineRule="auto"/>
      </w:pPr>
      <w:r>
        <w:rPr/>
        <w:t xml:space="preserve">W-10 Rapportage &amp; SLA/KPI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W-11 Compliance &amp; Datalocatie (EU)</w:t>
      </w:r>
    </w:p>
    <w:p>
      <w:pPr>
        <w:numPr>
          <w:ilvl w:val="0"/>
          <w:numId w:val="2"/>
        </w:numPr>
        <w:spacing w:lineRule="auto"/>
      </w:pPr>
      <w:r>
        <w:rPr/>
        <w:t xml:space="preserve">W-12 Microsoft 365 Beheer &amp; Hardening</w:t>
      </w:r>
    </w:p>
    <w:p>
      <w:pPr>
        <w:numPr>
          <w:ilvl w:val="0"/>
          <w:numId w:val="2"/>
        </w:numPr>
        <w:spacing w:lineRule="auto"/>
      </w:pPr>
      <w:r>
        <w:rPr/>
        <w:t xml:space="preserve">W-13 Vendor &amp; Third-Party Management</w:t>
      </w:r>
    </w:p>
    <w:p>
      <w:pPr>
        <w:numPr>
          <w:ilvl w:val="0"/>
          <w:numId w:val="2"/>
        </w:numPr>
        <w:spacing w:lineRule="auto"/>
      </w:pPr>
      <w:r>
        <w:rPr/>
        <w:t xml:space="preserve">W-14 Capaciteits- &amp; Performancebeheer</w:t>
      </w:r>
    </w:p>
    <w:p>
      <w:pPr>
        <w:numPr>
          <w:ilvl w:val="0"/>
          <w:numId w:val="2"/>
        </w:numPr>
        <w:spacing w:lineRule="auto"/>
      </w:pPr>
      <w:r>
        <w:rPr/>
        <w:t xml:space="preserve">W-15 Kennisborging &amp; Personele Continuïteit (incl. VOG)</w:t>
      </w:r>
    </w:p>
    <w:p>
      <w:pPr>
        <w:spacing w:lineRule="auto"/>
      </w:pPr>
      <w:r>
        <w:rPr/>
        <w:t xml:space="preserve">KPI’s (SLA-definities en aanvullend)</w:t>
      </w:r>
    </w:p>
    <w:p>
      <w:pPr>
        <w:numPr>
          <w:ilvl w:val="0"/>
          <w:numId w:val="3"/>
        </w:numPr>
        <w:spacing w:lineRule="auto"/>
      </w:pPr>
      <w:r>
        <w:rPr/>
        <w:t xml:space="preserve">KPI-1 Beschikbaarheid kritieke systemen: 99,8% per maand</w:t>
      </w:r>
    </w:p>
    <w:p>
      <w:pPr>
        <w:numPr>
          <w:ilvl w:val="0"/>
          <w:numId w:val="3"/>
        </w:numPr>
        <w:spacing w:lineRule="auto"/>
      </w:pPr>
      <w:r>
        <w:rPr/>
        <w:t xml:space="preserve">KPI-2 Responstijd P1-incidenten: &lt; 30 minuten</w:t>
      </w:r>
    </w:p>
    <w:p>
      <w:pPr>
        <w:numPr>
          <w:ilvl w:val="0"/>
          <w:numId w:val="3"/>
        </w:numPr>
        <w:spacing w:lineRule="auto"/>
      </w:pPr>
      <w:r>
        <w:rPr/>
        <w:t xml:space="preserve">KPI-3 Oplostijd P1-incidenten: &lt; 4 uur</w:t>
      </w:r>
    </w:p>
    <w:p>
      <w:pPr>
        <w:numPr>
          <w:ilvl w:val="0"/>
          <w:numId w:val="3"/>
        </w:numPr>
        <w:spacing w:lineRule="auto"/>
      </w:pPr>
      <w:r>
        <w:rPr/>
        <w:t xml:space="preserve">KPI-4 (intern) Patch compliance: ≥ 95% binnen 14 dagen kritieke updates</w:t>
      </w:r>
    </w:p>
    <w:p>
      <w:pPr>
        <w:numPr>
          <w:ilvl w:val="0"/>
          <w:numId w:val="3"/>
        </w:numPr>
        <w:spacing w:lineRule="auto"/>
      </w:pPr>
      <w:r>
        <w:rPr/>
        <w:t xml:space="preserve">KPI-5 (intern) Change-succesratio: ≥ 98% per maand</w:t>
      </w:r>
    </w:p>
    <w:p>
      <w:pPr>
        <w:spacing w:lineRule="auto"/>
      </w:pPr>
      <w:r>
        <w:rPr/>
        <w:t xml:space="preserve">Risicoregister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Risico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Kans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Beheersmaatregel (SMART + PDCA)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Eigenaar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Link KPI/W-xx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Residual Risk</w:t>
            </w:r>
          </w:p>
        </w:tc>
      </w:t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Niet halen 99,8% beschikbaarheid door storingen in kritieke componenten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(Zeer 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definieer per 01-02-2026 een top-10 kritieke systeemlijst met single points of failure en onderhoudsvensters (W-14). Do: implementeer actieve/actieve opzet en synthetische checks binnen 30 dagen (W-02). Check: maandelijkse beschikbaarheidsrapportage met root cause analyse (W-10). Act: binnen 10 werkdagen na afwijking wijzigingsvoorstel (W-05). SMART: ≥99,8% uptime per maand; max. 50 min downtime. Bewijs: maandrapportages, monitoring-export.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Delivery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KPI-1; W-02, W-14, W-10, W-05. Bewijs: ISO 9001-procesrapportage.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Overschrijden responstijd P1 (&gt;30 min) bij 24/7 meldingen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(Laag)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(Zeer 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definieer P1-triggers, escalatiematrix en wachtdienstrooster 24/7 per 15-01-2026 (W-07). Do: automatische paging via SMS/Teams/telefonie, 3-minuten bevestigingsplicht (W-02). Check: wekelijkse responstijd-audit; QBR-trend (W-10). Act: bij &gt;1 afwijking/maand: rooster herzien en back-up engineer toevoegen binnen 7 dagen. SMART: mediaan P1-responstijd ≤10 min; 95e percentiel ≤20 min. Bewijs: pager logs.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NOC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KPI-2; W-07, W-02, W-10. Bewijs: wachtdienstlogboeken.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Te late P1-oplossing (&gt;4 uur) door onvoldoende major incident-proces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MIM-runbook en war room-protocol per 20-01-2026 (W-04). Do: standby MI-manager, 15-min update-cadans naar stakeholders (W-07). Check: post-mortem binnen 48 uur (W-10). Act: problem record en structurele maatregel binnen 10 werkdagen (W-04/W-05). SMART: ≥90% P1 opgelost &lt;4 uur, rest met workaround &lt;2 uur. Bewijs: MIM-dossiers, post-mortems.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Major Incident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KPI-3; W-04, W-07, W-10. Bewijs: ITIL-procesdocumenten.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Patch-achterstand verhoogt dreiging exploit of verstoring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CVSS≥7 binnen 14 dagen; overige binnen 30 dagen (policy per 01-02-2026) (W-03). Do: geautomatiseerde patching en maintenance windows (W-05). Check: wekelijkse compliance-rapportage (W-10). Act: bij &lt;95% compliance: change freeze voor niet-urgent werk tot herstel binnen 5 werkdagen. SMART: ≥95% binnen 14 dagen; 100% binnen 30 dagen. Bewijs: patchrapporten.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Tech Lead Infrastructure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KPI-4; W-03, W-05, W-10. Bewijs: scanresultaten (Nessus/Defender).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Onvoldoende monitoring/alerting leidt tot late detectie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(Laag)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100% dekking kritieke assets in monitoring-CMDB per 01-02-2026 (W-02, W-09). Do: drempels, synthetics en logcorrelatie activeren (W-08). Check: maandelijkse gap-scan vs CMDB (W-10). Act: ontbrekende sensoren binnen 3 werkdagen toevoegen. SMART: ≥99% kritieke assets gemonitord; false positives &lt;5%/maand. Bewijs: monitoring-inventaris.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Monitoring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KPI-1; W-02, W-09, W-08, W-10. Bewijs: CMDB-exports.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 Datalocatie buiten EU of onduidelijkheid daarover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(Laag)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(Zeer 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datalocatie-matrix en verwerkerslijst per 15-02-2026 (W-11). Do: blokkeren niet-EU regio’s in tenants, DLP en geo-fencing (W-12/W-08). Check: kwartaalreview verwerkers en tenant-instellingen (W-10). Act: afwijking binnen 48 uur corrigeren en DPIA-update binnen 5 dagen. SMART: 0 datastromen buiten EU. Bewijs: verwerkersoverzicht, tenant-config.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CISO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W-11, W-12, W-08, KPI-1 (indirect). Bewijs: ISO 27001 scopeverklaring.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7. Escalatie faalt door onvolledige contactketen opdrachtgever/leveranciers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escalatiediagram met contactgegevens opdrachtgever en leveranciers per 20-01-2026 (W-07, W-13). Do: gezamenlijke P1-oefening binnen 30 dagen na start (W-04). Check: halfjaarlijkse call tree-test (W-10). Act: binnen 3 dagen na test alle verouderde contacten actualiseren. SMART: ≥95% bereikbaarheid in call tree-tests. Bewijs: testrapporten.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Service Delivery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KPI-2/KPI-3; W-07, W-13, W-04,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 Onvoldoende getest BCP/DR leidt tot lange uitval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(Laag)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(Zeer 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BCP/DR-scenario’s en RTO/RPO per 01-03-2026 (W-06). Do: jaarlijkse DR-test en halfjaarlijkse tabletop (W-06). Check: testresultaten vs RTO≤4 uur voor P1-systemen (W-10). Act: herstelplan met investeringsvoorstel binnen 15 werkdagen. SMART: ≥1 volledige DR-test/jaar; ≥90% doelstellingen gehaald. Bewijs: testrapporten, BCP.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Continuïteitsmanager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Gecontroleerd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KPI-1/KPI-3; W-06,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9. Change-falen veroorzaakt downtime of terugval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CAB-kalender en risicoscore &gt;7 vereist back-outplan per 01-02-2026 (W-05). Do: standard changes met sjablonen; black-out windows (W-05). Check: maandelijkse change-succes KPI (W-10). Act: bij succesratio &lt;98% root cause en aanpassing sjablonen binnen 10 werkdagen. SMART: ≥98% succesvolle changes/maand. Bewijs: CAB-notulen.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KPI-1/KPI-5; W-05,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10. Security-incident (bijv. ransomware) door EDR/MFA-gaps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(Laag)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(Zeer 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EDR op 100% endpoints en MFA op alle admins per 01-02-2026 (W-08, W-12). Do: 24/7 SOC-alerting, isolatie binnen 15 minuten (W-08). Check: maandelijkse EDR-coverage en phishing-simulaties (W-10). Act: coverage &lt;100% binnen 48 uur herstellen; lessons learned in hardening guide binnen 7 dagen. SMART: 0 kritieke security-incidenten/kwartaal. Bewijs: EDR-rapporten, MFA-policy.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Lead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KPI-1/KPI-3; W-08, W-12,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11. Capaciteitsknelpunten (CPU/RAM/storage) leiden tot vertraging of uitval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drempels 75/85/95% met automatische tickets per 01-02-2026 (W-14). Do: maandelijks capacity review en voorspelling 90 dagen (W-10). Check: rapportage met trends en aanbevelingen (W-14). Act: binnen 10 werkdagen change voor uitbreiding of optimalisatie (W-05). SMART: 0 P1’s door resource-uitputting. Bewijs: capacity-rapporten.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Engineer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KPI-1; W-14, W-10, W-05.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12. Onjuiste/onj complete CMDB leidt tot foutieve impactanalyse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datamodel en owners per CI per 31-01-2026 (W-09). Do: auto-discovery + handmatige validatie per maand (W-02/W-09). Check: maandelijkse audit; afwijking &gt;5% is non-conform (W-10). Act: datakwaliteitsplan binnen 7 dagen bij afwijking. SMART: ≥95% CI-accuracy; 100% kritieke CIs geverifieerd/maand. Bewijs: auditlog CMDB.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Configuration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KPI-1/KPI-5; W-09, W-02,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13. Vertraging onboarding door ontbrekende toegangen/info opdrachtgever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(Beperkt)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RACI en onboarding-checklist met harde afhankelijkheden per 20-01-2026 (W-01). Do: wekelijkse voortgangsstand-ups met opdrachtgever tot go-live (W-01). Check: burn-down tegen mijlpalen (W-10). Act: blokkades &gt;5 werkdagen escaleren naar stuurgroep; workaround voorstellen binnen 2 werkdagen. SMART: 100% mijlpalen op tijd ±5 werkdagen. Bewijs: onboarding-bord, actielijsten.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Projectmanager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 uitvoering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W-01, W-10; KPI-2/KPI-3 (indirect).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14. Personele uitval/ontoereikende vervanging (24/7 borging)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(Laag)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skills-matrix, 2-deep coverage op kritieke rollen per 15-02-2026 (W-15). Do: kennisoverdracht en runbooks; VOG geborgd (W-15). Check: kwartaalreview bezetting vs rooster (W-07/W-10). Act: binnen 2 weken bijschakelen via partners SecureOps NL/IT Infra Group. SMART: 0 gemiste shifts; 100% VOG op dossier. Bewijs: skills-matrix, VOG-register.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HR &amp; Operations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KPI-2/KPI-3; W-15, W-07,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15. Leveranciersfalen (SaaS/connectiviteit) beïnvloedt SLA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 (Middel)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onderaannemers-SLA’s alignen op 99,9% en P1 &lt;30/&lt;4 per 01-02-2026 (W-13). Do: contractuele credits en prioritaire escalatiepaden (W-13). Check: maandelijkse vendor scorecards (W-10). Act: bij 2 maanden op rij non-conform: verbeterplan of exit binnen 30 dagen. SMART: ≥95% vendor-SLA-compliance/kwartaal. Bewijs: scorecards, contracten.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Manager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KPI-1/KPI-2/KPI-3; W-13,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16. M365-misconfiguraties (conditional access, sharing) leiden tot risico’s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 (Laag)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(Hoog)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Plan: M365 baseline (CIS/MS) per 01-02-2026; change-guardrails (W-12). Do: policy enforcement, least privilege, secure score ≥80 (W-12/W-08). Check: maandelijkse secure score review (W-10). Act: afwijkingen &gt;5 punten herstellen binnen 5 dagen. SMART: Secure Score ≥80 blijvend. Bewijs: Secure Score-rapporten.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M365 Architect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Actief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KPI-1/KPI-3; W-12, W-08, W-10.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Wordt na maatregelen herbeoordeeld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Toelichting koppeling Risico ↔ KPI ↔ W-xx ↔ Bewijs</w:t>
      </w:r>
    </w:p>
    <w:p>
      <w:pPr>
        <w:numPr>
          <w:ilvl w:val="0"/>
          <w:numId w:val="4"/>
        </w:numPr>
        <w:spacing w:lineRule="auto"/>
      </w:pPr>
      <w:r>
        <w:rPr/>
        <w:t xml:space="preserve">Voor elk risico is minimaal één primaire KPI benoemd (KPI-1/2/3) en het onderliggende werkpakket (W-xx) dat het resultaat levert.</w:t>
      </w:r>
    </w:p>
    <w:p>
      <w:pPr>
        <w:numPr>
          <w:ilvl w:val="0"/>
          <w:numId w:val="4"/>
        </w:numPr>
        <w:spacing w:lineRule="auto"/>
      </w:pPr>
      <w:r>
        <w:rPr/>
        <w:t xml:space="preserve">Bewijsvoering is geborgd via: ISO 27001/ISO 9001 (Digital Ease B.V., KvK 88392011), NEN 7510, Microsoft Secure Score-rapporten, monitoring-exports, post-mortems, CAB-notulen, BCP/DR-testverslagen, CMDB-audits, wachtdienstlogboeken en vendor scorecards.</w:t>
      </w:r>
    </w:p>
    <w:p>
      <w:pPr>
        <w:numPr>
          <w:ilvl w:val="0"/>
          <w:numId w:val="4"/>
        </w:numPr>
        <w:spacing w:lineRule="auto"/>
      </w:pPr>
      <w:r>
        <w:rPr/>
        <w:t xml:space="preserve">PDCA-cycli zijn aantoonbaar via maandrapportages (W-10), change-records (W-05), problem records (W-04), auditlogs (W-09) en management reviews (ISO).</w:t>
      </w:r>
    </w:p>
    <w:p>
      <w:pPr>
        <w:spacing w:lineRule="auto"/>
      </w:pPr>
      <w:r>
        <w:rPr/>
        <w:t xml:space="preserve">PDCA-borging en escalatie</w:t>
      </w:r>
    </w:p>
    <w:p>
      <w:pPr>
        <w:numPr>
          <w:ilvl w:val="0"/>
          <w:numId w:val="5"/>
        </w:numPr>
        <w:spacing w:lineRule="auto"/>
      </w:pPr>
      <w:r>
        <w:rPr/>
        <w:t xml:space="preserve">Plan: beleid, runbooks, RACI, KPI-definities en onderhoudsvensters worden per werkpakket vastgesteld en formeel geaccordeerd met de opdrachtgever in de opstartfase (voor 01-03-2026).</w:t>
      </w:r>
    </w:p>
    <w:p>
      <w:pPr>
        <w:numPr>
          <w:ilvl w:val="0"/>
          <w:numId w:val="5"/>
        </w:numPr>
        <w:spacing w:lineRule="auto"/>
      </w:pPr>
      <w:r>
        <w:rPr/>
        <w:t xml:space="preserve">Do: uitvoering via 24/7 servicedesk, NOC/SOC, geautomatiseerde monitoring/patching, MIM-procedures en CAB.</w:t>
      </w:r>
    </w:p>
    <w:p>
      <w:pPr>
        <w:numPr>
          <w:ilvl w:val="0"/>
          <w:numId w:val="5"/>
        </w:numPr>
        <w:spacing w:lineRule="auto"/>
      </w:pPr>
      <w:r>
        <w:rPr/>
        <w:t xml:space="preserve">Check: maandelijkse SLA/KPI-rapportage en kwartaal QBR met trendanalyses, inclusief beschikbaarheid, responstijden, oplostijden, patch compliance, change-succes en security-coverage.</w:t>
      </w:r>
    </w:p>
    <w:p>
      <w:pPr>
        <w:numPr>
          <w:ilvl w:val="0"/>
          <w:numId w:val="5"/>
        </w:numPr>
        <w:spacing w:lineRule="auto"/>
      </w:pPr>
      <w:r>
        <w:rPr/>
        <w:t xml:space="preserve">Act: verbetermaatregelen met eigenaar, deadline en verificatiecriteria; bij KPI-onderprestatie wordt binnen 10 werkdagen een corrigerend actieplan doorgevoerd en hergetest.</w:t>
      </w:r>
    </w:p>
    <w:p>
      <w:pPr>
        <w:spacing w:lineRule="auto"/>
      </w:pPr>
      <w:r>
        <w:rPr/>
        <w:t xml:space="preserve">Afhankelijkheden en randvoorwaarden (conform aannames)</w:t>
      </w:r>
    </w:p>
    <w:p>
      <w:pPr>
        <w:numPr>
          <w:ilvl w:val="0"/>
          <w:numId w:val="6"/>
        </w:numPr>
        <w:spacing w:lineRule="auto"/>
      </w:pPr>
      <w:r>
        <w:rPr/>
        <w:t xml:space="preserve">Tijdige aanlevering van noodzakelijke toegangen, informatie en besluitvorming door de opdrachtgever (impact op W-01/W-07).</w:t>
      </w:r>
    </w:p>
    <w:p>
      <w:pPr>
        <w:numPr>
          <w:ilvl w:val="0"/>
          <w:numId w:val="6"/>
        </w:numPr>
        <w:spacing w:lineRule="auto"/>
      </w:pPr>
      <w:r>
        <w:rPr/>
        <w:t xml:space="preserve">Lokale netwerkinfrastructuur voldoet aan minimale eisen; licenties (Microsoft 365 e.a.) zijn rechtmatig en actief.</w:t>
      </w:r>
    </w:p>
    <w:p>
      <w:pPr>
        <w:numPr>
          <w:ilvl w:val="0"/>
          <w:numId w:val="6"/>
        </w:numPr>
        <w:spacing w:lineRule="auto"/>
      </w:pPr>
      <w:r>
        <w:rPr/>
        <w:t xml:space="preserve">Onsite hardware valt buiten scope tenzij expliciet overeengekomen; third-party SaaS support via W-13.</w:t>
      </w:r>
    </w:p>
    <w:p>
      <w:pPr>
        <w:spacing w:lineRule="auto"/>
      </w:pPr>
      <w:r>
        <w:rPr/>
        <w:t xml:space="preserve">Continuïteit en security</w:t>
      </w:r>
    </w:p>
    <w:p>
      <w:pPr>
        <w:numPr>
          <w:ilvl w:val="0"/>
          <w:numId w:val="7"/>
        </w:numPr>
        <w:spacing w:lineRule="auto"/>
      </w:pPr>
      <w:r>
        <w:rPr/>
        <w:t xml:space="preserve">Certificeringen: ISO 27001, ISO 9001, NEN 7510 geborgd in onze managementsystemen; Microsoft Solutions Partner – Modern Work; Fortinet NSE4-capaciteit aanwezig.</w:t>
      </w:r>
    </w:p>
    <w:p>
      <w:pPr>
        <w:numPr>
          <w:ilvl w:val="0"/>
          <w:numId w:val="7"/>
        </w:numPr>
        <w:spacing w:lineRule="auto"/>
      </w:pPr>
      <w:r>
        <w:rPr/>
        <w:t xml:space="preserve">Personeel en VOG: W-15 borgt 2-deep bezetting, VOG en kennisoverdracht; partners SecureOps NL en IT Infra Group zijn vooraf gecontracteerd voor piek/uitval.</w:t>
      </w:r>
    </w:p>
    <w:p>
      <w:pPr>
        <w:spacing w:lineRule="auto"/>
      </w:pPr>
      <w:r>
        <w:rPr/>
        <w:t xml:space="preserve">Rapportage en sturing</w:t>
      </w:r>
    </w:p>
    <w:p>
      <w:pPr>
        <w:numPr>
          <w:ilvl w:val="0"/>
          <w:numId w:val="8"/>
        </w:numPr>
        <w:spacing w:lineRule="auto"/>
      </w:pPr>
      <w:r>
        <w:rPr/>
        <w:t xml:space="preserve">KPI-rapportage: maandrapporten binnen 5 werkdagen na maandultimo; QBR met trendgrafieken en RCA-overzichten.</w:t>
      </w:r>
    </w:p>
    <w:p>
      <w:pPr>
        <w:numPr>
          <w:ilvl w:val="0"/>
          <w:numId w:val="8"/>
        </w:numPr>
        <w:spacing w:lineRule="auto"/>
      </w:pPr>
      <w:r>
        <w:rPr/>
        <w:t xml:space="preserve">Escalatie: P1 binnen 30 min respons en escalatie volgens call tree; opdrachtgever ontvangt statusupdates elke 15 minuten tot mitigatie.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Risicoregister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