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Assumpties &amp; Uitsluitingen</w:t>
      </w:r>
    </w:p>
    <w:p>
      <w:pPr>
        <w:pStyle w:val="Heading2"/>
        <w:spacing w:lineRule="auto"/>
      </w:pPr>
      <w:r>
        <w:rPr/>
        <w:t xml:space="preserve">Caternext B.V. — Raamovereenkomst Duurzame Catering en Bedrijfslunch 2026–2030</w:t>
      </w:r>
    </w:p>
    <w:p>
      <w:pPr>
        <w:spacing w:lineRule="auto"/>
      </w:pPr>
      <w:r>
        <w:rPr/>
        <w:t xml:space="preserve">     04 november 2025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Automatisch gegenereerd door </w:t>
      </w:r>
    </w:p>
    <w:p>
      <w:pPr>
        <w:spacing w:lineRule="auto"/>
      </w:pPr>
      <w:r>
        <w:rPr>
          <w:b/>
        </w:rPr>
        <w:t xml:space="preserve">TenderAI</w:t>
      </w:r>
    </w:p>
    <w:p>
      <w:r>
        <w:br w:type="page"/>
      </w:r>
    </w:p>
    <w:p>
      <w:pPr>
        <w:spacing w:lineRule="auto"/>
      </w:pPr>
      <w:r>
        <w:rPr/>
        <w:t xml:space="preserve">Aannames &amp; Uitsluitingen — Raamovereenkomst Duurzame Catering en Bedrijfslunch 2026–2030 (GEM-AMS-CATER-2026-014) — Caternext B.V.</w:t>
      </w:r>
    </w:p>
    <w:p>
      <w:pPr>
        <w:numPr>
          <w:ilvl w:val="0"/>
          <w:numId w:val="1"/>
        </w:numPr>
        <w:spacing w:lineRule="auto"/>
      </w:pPr>
      <w:r>
        <w:rPr/>
        <w:t xml:space="preserve">Aannames (SMART en operationeel)</w:t>
      </w:r>
    </w:p>
    <w:p>
      <w:pPr>
        <w:numPr>
          <w:ilvl w:val="0"/>
          <w:numId w:val="2"/>
        </w:numPr>
        <w:spacing w:lineRule="auto"/>
      </w:pPr>
      <w:r>
        <w:rPr/>
        <w:t xml:space="preserve">Volume en vensters:</w:t>
      </w:r>
    </w:p>
    <w:p>
      <w:pPr>
        <w:numPr>
          <w:ilvl w:val="1"/>
          <w:numId w:val="3"/>
        </w:numPr>
        <w:spacing w:lineRule="auto"/>
      </w:pPr>
      <w:r>
        <w:rPr/>
        <w:t xml:space="preserve">Dagelijks minimaal 500 couverts verdeeld over gemeentelijke locaties, levervensters 11:00–13:30 per locatie, met toegestane marge ±10 minuten per stop.</w:t>
      </w:r>
    </w:p>
    <w:p>
      <w:pPr>
        <w:numPr>
          <w:ilvl w:val="1"/>
          <w:numId w:val="3"/>
        </w:numPr>
        <w:spacing w:lineRule="auto"/>
      </w:pPr>
      <w:r>
        <w:rPr/>
        <w:t xml:space="preserve">Dagelijks definitieve aantallen per locatie uiterlijk 09:00 uur via het digitale bestelsysteem; wijzigingsvenster tot 10:00 uur met maximaal +/–10% zonder meerprijs.</w:t>
      </w:r>
    </w:p>
    <w:p>
      <w:pPr>
        <w:numPr>
          <w:ilvl w:val="0"/>
          <w:numId w:val="2"/>
        </w:numPr>
        <w:spacing w:lineRule="auto"/>
      </w:pPr>
      <w:r>
        <w:rPr/>
        <w:t xml:space="preserve">Voedselveiligheid:</w:t>
      </w:r>
    </w:p>
    <w:p>
      <w:pPr>
        <w:numPr>
          <w:ilvl w:val="1"/>
          <w:numId w:val="4"/>
        </w:numPr>
        <w:spacing w:lineRule="auto"/>
      </w:pPr>
      <w:r>
        <w:rPr/>
        <w:t xml:space="preserve">HACCP en ISO 22000-borging toegepast op gehele keten (inkoop, productie, distributie). Kritische controlepunten (CCP’s) gemeten en gelogd per batch en rit.</w:t>
      </w:r>
    </w:p>
    <w:p>
      <w:pPr>
        <w:numPr>
          <w:ilvl w:val="0"/>
          <w:numId w:val="2"/>
        </w:numPr>
        <w:spacing w:lineRule="auto"/>
      </w:pPr>
      <w:r>
        <w:rPr/>
        <w:t xml:space="preserve">Duurzaamheid:</w:t>
      </w:r>
    </w:p>
    <w:p>
      <w:pPr>
        <w:numPr>
          <w:ilvl w:val="1"/>
          <w:numId w:val="5"/>
        </w:numPr>
        <w:spacing w:lineRule="auto"/>
      </w:pPr>
      <w:r>
        <w:rPr/>
        <w:t xml:space="preserve">Minimaal 25% biologisch (aandeel inkoopwaarde) en 30% lokaal/regionaal (≤150 km) per kalendermaand gemeten en gerapporteerd.</w:t>
      </w:r>
    </w:p>
    <w:p>
      <w:pPr>
        <w:numPr>
          <w:ilvl w:val="1"/>
          <w:numId w:val="5"/>
        </w:numPr>
        <w:spacing w:lineRule="auto"/>
      </w:pPr>
      <w:r>
        <w:rPr/>
        <w:t xml:space="preserve">Foodwaste ≤3% per locatie per maand op basis van gewogen retourstromen; zero-waste verpakkingen via herbruikbare kratten, GN-bakken en cups met retourlogistiek.</w:t>
      </w:r>
    </w:p>
    <w:p>
      <w:pPr>
        <w:numPr>
          <w:ilvl w:val="0"/>
          <w:numId w:val="2"/>
        </w:numPr>
        <w:spacing w:lineRule="auto"/>
      </w:pPr>
      <w:r>
        <w:rPr/>
        <w:t xml:space="preserve">Digitale keten:</w:t>
      </w:r>
    </w:p>
    <w:p>
      <w:pPr>
        <w:numPr>
          <w:ilvl w:val="1"/>
          <w:numId w:val="6"/>
        </w:numPr>
        <w:spacing w:lineRule="auto"/>
      </w:pPr>
      <w:r>
        <w:rPr/>
        <w:t xml:space="preserve">Gebruik van Caternext bestelportaal met dieetprofielen en allergenen conform EU 1169/2011, beschikbaarheid ≥99,5% tijdens kantooruren; 2FA voor beheerders.</w:t>
      </w:r>
    </w:p>
    <w:p>
      <w:pPr>
        <w:numPr>
          <w:ilvl w:val="0"/>
          <w:numId w:val="2"/>
        </w:numPr>
        <w:spacing w:lineRule="auto"/>
      </w:pPr>
      <w:r>
        <w:rPr/>
        <w:t xml:space="preserve">Locatietoegang:</w:t>
      </w:r>
    </w:p>
    <w:p>
      <w:pPr>
        <w:numPr>
          <w:ilvl w:val="1"/>
          <w:numId w:val="7"/>
        </w:numPr>
        <w:spacing w:lineRule="auto"/>
      </w:pPr>
      <w:r>
        <w:rPr/>
        <w:t xml:space="preserve">Vrije toegang laad- en losplaatsen, liften en looproutes tussen 10:30–13:30; beschikbaarheid van een contactpersoon per locatie voor ontvangst.</w:t>
      </w:r>
    </w:p>
    <w:p>
      <w:pPr>
        <w:numPr>
          <w:ilvl w:val="0"/>
          <w:numId w:val="2"/>
        </w:numPr>
        <w:spacing w:lineRule="auto"/>
      </w:pPr>
      <w:r>
        <w:rPr/>
        <w:t xml:space="preserve">Faciliteiten:</w:t>
      </w:r>
    </w:p>
    <w:p>
      <w:pPr>
        <w:numPr>
          <w:ilvl w:val="1"/>
          <w:numId w:val="8"/>
        </w:numPr>
        <w:spacing w:lineRule="auto"/>
      </w:pPr>
      <w:r>
        <w:rPr/>
        <w:t xml:space="preserve">Gemeente levert stroom (230V) en een schone uitgifteplek; Caternext levert eigen koelboxen, presentatiebakken en terugnamekratten.</w:t>
      </w:r>
    </w:p>
    <w:p>
      <w:pPr>
        <w:numPr>
          <w:ilvl w:val="0"/>
          <w:numId w:val="2"/>
        </w:numPr>
        <w:spacing w:lineRule="auto"/>
      </w:pPr>
      <w:r>
        <w:rPr/>
        <w:t xml:space="preserve">Prijsafspraken:</w:t>
      </w:r>
    </w:p>
    <w:p>
      <w:pPr>
        <w:numPr>
          <w:ilvl w:val="1"/>
          <w:numId w:val="9"/>
        </w:numPr>
        <w:spacing w:lineRule="auto"/>
      </w:pPr>
      <w:r>
        <w:rPr/>
        <w:t xml:space="preserve">Prijzen zijn vast voor 2026–2030, exclusief wettelijke heffingen, accijnzen of btw-wijzigingen. Scopewijzigingen via change control vóór uitvoering.</w:t>
      </w:r>
    </w:p>
    <w:p>
      <w:pPr>
        <w:numPr>
          <w:ilvl w:val="0"/>
          <w:numId w:val="2"/>
        </w:numPr>
        <w:spacing w:lineRule="auto"/>
      </w:pPr>
      <w:r>
        <w:rPr/>
        <w:t xml:space="preserve">Ketenpartners:</w:t>
      </w:r>
    </w:p>
    <w:p>
      <w:pPr>
        <w:numPr>
          <w:ilvl w:val="1"/>
          <w:numId w:val="10"/>
        </w:numPr>
        <w:spacing w:lineRule="auto"/>
      </w:pPr>
      <w:r>
        <w:rPr/>
        <w:t xml:space="preserve">Fresh&amp;Local Coöp levert seizoensgebonden AGF; wij blijven eindverantwoordelijk voor kwaliteit, veiligheid en planning.</w:t>
      </w:r>
    </w:p>
    <w:p>
      <w:pPr>
        <w:numPr>
          <w:ilvl w:val="0"/>
          <w:numId w:val="11"/>
        </w:numPr>
        <w:spacing w:lineRule="auto"/>
      </w:pPr>
      <w:r>
        <w:rPr/>
        <w:t xml:space="preserve">Juridische uitsluitingen en randvoorwaarden</w:t>
      </w:r>
    </w:p>
    <w:p>
      <w:pPr>
        <w:numPr>
          <w:ilvl w:val="0"/>
          <w:numId w:val="12"/>
        </w:numPr>
        <w:spacing w:lineRule="auto"/>
      </w:pPr>
      <w:r>
        <w:rPr/>
        <w:t xml:space="preserve">KO-criteria:</w:t>
      </w:r>
    </w:p>
    <w:p>
      <w:pPr>
        <w:numPr>
          <w:ilvl w:val="1"/>
          <w:numId w:val="13"/>
        </w:numPr>
        <w:spacing w:lineRule="auto"/>
      </w:pPr>
      <w:r>
        <w:rPr/>
        <w:t xml:space="preserve">HACCP en ISO 22000 geldig en aantoonbaar; levercapaciteit ≥500 couverts/dag. Niet voldoen leidt tot onmiddellijke opschorting zonder schadeplichtigheid.</w:t>
      </w:r>
    </w:p>
    <w:p>
      <w:pPr>
        <w:numPr>
          <w:ilvl w:val="0"/>
          <w:numId w:val="12"/>
        </w:numPr>
        <w:spacing w:lineRule="auto"/>
      </w:pPr>
      <w:r>
        <w:rPr/>
        <w:t xml:space="preserve">Aansprakelijkheid:</w:t>
      </w:r>
    </w:p>
    <w:p>
      <w:pPr>
        <w:numPr>
          <w:ilvl w:val="1"/>
          <w:numId w:val="14"/>
        </w:numPr>
        <w:spacing w:lineRule="auto"/>
      </w:pPr>
      <w:r>
        <w:rPr/>
        <w:t xml:space="preserve">Aansprakelijkheid beperkt tot het lager van €1.000.000 per gebeurtenis of 100% van de jaarlijkse factuurwaarde; uitsluiting van gevolg- en indirecte schade.</w:t>
      </w:r>
    </w:p>
    <w:p>
      <w:pPr>
        <w:numPr>
          <w:ilvl w:val="0"/>
          <w:numId w:val="12"/>
        </w:numPr>
        <w:spacing w:lineRule="auto"/>
      </w:pPr>
      <w:r>
        <w:rPr/>
        <w:t xml:space="preserve">Allergenen en dieetdata:</w:t>
      </w:r>
    </w:p>
    <w:p>
      <w:pPr>
        <w:numPr>
          <w:ilvl w:val="1"/>
          <w:numId w:val="15"/>
        </w:numPr>
        <w:spacing w:lineRule="auto"/>
      </w:pPr>
      <w:r>
        <w:rPr/>
        <w:t xml:space="preserve">Wij zijn verwerkingsverantwoordelijke voor productdata en verwerker voor medewerkersprofielen. Gemeente is verwerkingsverantwoordelijke voor persoonsgegevens van medewerkers. AVG-DPA wordt gesloten; dataminimalisatie en retentie 24 maanden operationeel, 7 jaar financieel.</w:t>
      </w:r>
    </w:p>
    <w:p>
      <w:pPr>
        <w:numPr>
          <w:ilvl w:val="1"/>
          <w:numId w:val="15"/>
        </w:numPr>
        <w:spacing w:lineRule="auto"/>
      </w:pPr>
      <w:r>
        <w:rPr/>
        <w:t xml:space="preserve">Geen aansprakelijkheid voor onjuist verstrekte of ontbrekende dieet/allergie-informatie van eindgebruikers; wij leveren correcte labelinformatie en traceerbaarheid.</w:t>
      </w:r>
    </w:p>
    <w:p>
      <w:pPr>
        <w:numPr>
          <w:ilvl w:val="0"/>
          <w:numId w:val="12"/>
        </w:numPr>
        <w:spacing w:lineRule="auto"/>
      </w:pPr>
      <w:r>
        <w:rPr/>
        <w:t xml:space="preserve">Force majeure:</w:t>
      </w:r>
    </w:p>
    <w:p>
      <w:pPr>
        <w:numPr>
          <w:ilvl w:val="1"/>
          <w:numId w:val="16"/>
        </w:numPr>
        <w:spacing w:lineRule="auto"/>
      </w:pPr>
      <w:r>
        <w:rPr/>
        <w:t xml:space="preserve">Overmacht omvat o.a. uitzonderlijke weersomstandigheden, landelijke stakingen, epidemieën, plotselinge toeleveringsstop van kritieke ingrediënten zonder redelijke alternatieven. Inwerking: meldplicht binnen 2 uur; mitigerende routes/menuswitch.</w:t>
      </w:r>
    </w:p>
    <w:p>
      <w:pPr>
        <w:numPr>
          <w:ilvl w:val="0"/>
          <w:numId w:val="12"/>
        </w:numPr>
        <w:spacing w:lineRule="auto"/>
      </w:pPr>
      <w:r>
        <w:rPr/>
        <w:t xml:space="preserve">IP en licenties:</w:t>
      </w:r>
    </w:p>
    <w:p>
      <w:pPr>
        <w:numPr>
          <w:ilvl w:val="1"/>
          <w:numId w:val="17"/>
        </w:numPr>
        <w:spacing w:lineRule="auto"/>
      </w:pPr>
      <w:r>
        <w:rPr/>
        <w:t xml:space="preserve">Intellectuele eigendom op menu-engine, recepten, en software blijft bij Caternext; niet-exclusieve gebruikslicentie voor de looptijd. Dataportabiliteit via CSV/JSON-exports.</w:t>
      </w:r>
    </w:p>
    <w:p>
      <w:pPr>
        <w:numPr>
          <w:ilvl w:val="0"/>
          <w:numId w:val="12"/>
        </w:numPr>
        <w:spacing w:lineRule="auto"/>
      </w:pPr>
      <w:r>
        <w:rPr/>
        <w:t xml:space="preserve">Betalingsvoorwaarden:</w:t>
      </w:r>
    </w:p>
    <w:p>
      <w:pPr>
        <w:numPr>
          <w:ilvl w:val="1"/>
          <w:numId w:val="18"/>
        </w:numPr>
        <w:spacing w:lineRule="auto"/>
      </w:pPr>
      <w:r>
        <w:rPr/>
        <w:t xml:space="preserve">Betaling 30 dagen na factuurdatum. Bij &gt;30 dagen verzuim: recht op opschorting leveringen na schriftelijke ingebrekestelling van 5 werkdagen.</w:t>
      </w:r>
    </w:p>
    <w:p>
      <w:pPr>
        <w:numPr>
          <w:ilvl w:val="0"/>
          <w:numId w:val="12"/>
        </w:numPr>
        <w:spacing w:lineRule="auto"/>
      </w:pPr>
      <w:r>
        <w:rPr/>
        <w:t xml:space="preserve">Inspecties en audits:</w:t>
      </w:r>
    </w:p>
    <w:p>
      <w:pPr>
        <w:numPr>
          <w:ilvl w:val="1"/>
          <w:numId w:val="19"/>
        </w:numPr>
        <w:spacing w:lineRule="auto"/>
      </w:pPr>
      <w:r>
        <w:rPr/>
        <w:t xml:space="preserve">Gemeente krijgt auditrecht op locatie (kantoor/keuken) 2x per jaar met 5 werkdagen aankondiging; vertrouwelijkheidsovereenkomst van toepassing.</w:t>
      </w:r>
    </w:p>
    <w:p>
      <w:pPr>
        <w:numPr>
          <w:ilvl w:val="0"/>
          <w:numId w:val="12"/>
        </w:numPr>
        <w:spacing w:lineRule="auto"/>
      </w:pPr>
      <w:r>
        <w:rPr/>
        <w:t xml:space="preserve">Uitsluitingen scope:</w:t>
      </w:r>
    </w:p>
    <w:p>
      <w:pPr>
        <w:numPr>
          <w:ilvl w:val="1"/>
          <w:numId w:val="20"/>
        </w:numPr>
        <w:spacing w:lineRule="auto"/>
      </w:pPr>
      <w:r>
        <w:rPr/>
        <w:t xml:space="preserve">Geen eventcatering buiten lunchvensters, geen avond-/weekendservice, geen on-site afwas unless separaat overeengekomen, geen warmhoudmeubilair (huur mogelijk).</w:t>
      </w:r>
    </w:p>
    <w:p>
      <w:pPr>
        <w:numPr>
          <w:ilvl w:val="0"/>
          <w:numId w:val="21"/>
        </w:numPr>
        <w:spacing w:lineRule="auto"/>
      </w:pPr>
      <w:r>
        <w:rPr/>
        <w:t xml:space="preserve">Financiële consequenties bij afwijkingen</w:t>
      </w:r>
    </w:p>
    <w:p>
      <w:pPr>
        <w:numPr>
          <w:ilvl w:val="0"/>
          <w:numId w:val="22"/>
        </w:numPr>
        <w:spacing w:lineRule="auto"/>
      </w:pPr>
      <w:r>
        <w:rPr/>
        <w:t xml:space="preserve">Volumederving of -piek:</w:t>
      </w:r>
    </w:p>
    <w:p>
      <w:pPr>
        <w:numPr>
          <w:ilvl w:val="1"/>
          <w:numId w:val="23"/>
        </w:numPr>
        <w:spacing w:lineRule="auto"/>
      </w:pPr>
      <w:r>
        <w:rPr/>
        <w:t xml:space="preserve">Bestelafwijking &gt;10% na 10:00 uur: toeslag 8% op variabele component betreffende meerlevering; onderlevering &gt;10% wordt als no-show doorbelast tegen 80% van de menuprijs i.v.m. productie gereed.</w:t>
      </w:r>
    </w:p>
    <w:p>
      <w:pPr>
        <w:numPr>
          <w:ilvl w:val="0"/>
          <w:numId w:val="22"/>
        </w:numPr>
        <w:spacing w:lineRule="auto"/>
      </w:pPr>
      <w:r>
        <w:rPr/>
        <w:t xml:space="preserve">Extra stops en vensteroverschrijding:</w:t>
      </w:r>
    </w:p>
    <w:p>
      <w:pPr>
        <w:numPr>
          <w:ilvl w:val="1"/>
          <w:numId w:val="24"/>
        </w:numPr>
        <w:spacing w:lineRule="auto"/>
      </w:pPr>
      <w:r>
        <w:rPr/>
        <w:t xml:space="preserve">Extra stop buiten vooraf afgesproken route: €35 per stop; wachttijd door ontoegankelijke losplaats &gt;10 minuten: €1,50 per minuut.</w:t>
      </w:r>
    </w:p>
    <w:p>
      <w:pPr>
        <w:numPr>
          <w:ilvl w:val="0"/>
          <w:numId w:val="22"/>
        </w:numPr>
        <w:spacing w:lineRule="auto"/>
      </w:pPr>
      <w:r>
        <w:rPr/>
        <w:t xml:space="preserve">After-hours:</w:t>
      </w:r>
    </w:p>
    <w:p>
      <w:pPr>
        <w:numPr>
          <w:ilvl w:val="1"/>
          <w:numId w:val="25"/>
        </w:numPr>
        <w:spacing w:lineRule="auto"/>
      </w:pPr>
      <w:r>
        <w:rPr/>
        <w:t xml:space="preserve">Levering buiten 11:00–13:30 op verzoek: €75 per uur per bezorgteam.</w:t>
      </w:r>
    </w:p>
    <w:p>
      <w:pPr>
        <w:numPr>
          <w:ilvl w:val="0"/>
          <w:numId w:val="22"/>
        </w:numPr>
        <w:spacing w:lineRule="auto"/>
      </w:pPr>
      <w:r>
        <w:rPr/>
        <w:t xml:space="preserve">Herbruikbare materialen:</w:t>
      </w:r>
    </w:p>
    <w:p>
      <w:pPr>
        <w:numPr>
          <w:ilvl w:val="1"/>
          <w:numId w:val="26"/>
        </w:numPr>
        <w:spacing w:lineRule="auto"/>
      </w:pPr>
      <w:r>
        <w:rPr/>
        <w:t xml:space="preserve">Vervangingswaarde bij verlies/beschadiging: krat €12, GN-bak 1/1 €8, deksel €3, koelelement €5; doorbelasting per maandelijkse inventariscontrole.</w:t>
      </w:r>
    </w:p>
    <w:p>
      <w:pPr>
        <w:numPr>
          <w:ilvl w:val="0"/>
          <w:numId w:val="22"/>
        </w:numPr>
        <w:spacing w:lineRule="auto"/>
      </w:pPr>
      <w:r>
        <w:rPr/>
        <w:t xml:space="preserve">Zero-waste afwijking:</w:t>
      </w:r>
    </w:p>
    <w:p>
      <w:pPr>
        <w:numPr>
          <w:ilvl w:val="1"/>
          <w:numId w:val="27"/>
        </w:numPr>
        <w:spacing w:lineRule="auto"/>
      </w:pPr>
      <w:r>
        <w:rPr/>
        <w:t xml:space="preserve">Indien retourpunten niet beschikbaar zijn of structureel &lt;90% retour, omslag naar composteerbare verpakking met meerprijs €0,25 per couvert en hogere afvalkosten uitgesloten van KPI foodwaste-berekening.</w:t>
      </w:r>
    </w:p>
    <w:p>
      <w:pPr>
        <w:numPr>
          <w:ilvl w:val="0"/>
          <w:numId w:val="22"/>
        </w:numPr>
        <w:spacing w:lineRule="auto"/>
      </w:pPr>
      <w:r>
        <w:rPr/>
        <w:t xml:space="preserve">Data en integraties:</w:t>
      </w:r>
    </w:p>
    <w:p>
      <w:pPr>
        <w:numPr>
          <w:ilvl w:val="1"/>
          <w:numId w:val="28"/>
        </w:numPr>
        <w:spacing w:lineRule="auto"/>
      </w:pPr>
      <w:r>
        <w:rPr/>
        <w:t xml:space="preserve">EDI/API-koppeling met gemeentelijke systemen buiten standaard CSV-export: eenmalige set-up €1.450 en €65 per maand onderhoud per koppeling.</w:t>
      </w:r>
    </w:p>
    <w:p>
      <w:pPr>
        <w:numPr>
          <w:ilvl w:val="0"/>
          <w:numId w:val="22"/>
        </w:numPr>
        <w:spacing w:lineRule="auto"/>
      </w:pPr>
      <w:r>
        <w:rPr/>
        <w:t xml:space="preserve">Calamiteitenmenu:</w:t>
      </w:r>
    </w:p>
    <w:p>
      <w:pPr>
        <w:numPr>
          <w:ilvl w:val="1"/>
          <w:numId w:val="29"/>
        </w:numPr>
        <w:spacing w:lineRule="auto"/>
      </w:pPr>
      <w:r>
        <w:rPr/>
        <w:t xml:space="preserve">Bij onvoorziene toeleveringsuitval: gelijkwaardige alternatieven zonder prijsverhoging tot 5 werkdagen; daarna indexatie naar marktprijs van alternatieven na akkoord.</w:t>
      </w:r>
    </w:p>
    <w:p>
      <w:pPr>
        <w:numPr>
          <w:ilvl w:val="0"/>
          <w:numId w:val="30"/>
        </w:numPr>
        <w:spacing w:lineRule="auto"/>
      </w:pPr>
      <w:r>
        <w:rPr/>
        <w:t xml:space="preserve">Werkpakketten, KPI’s, risico’s en bewijs (PDCA)</w:t>
      </w:r>
    </w:p>
    <w:p>
      <w:pPr>
        <w:numPr>
          <w:ilvl w:val="0"/>
          <w:numId w:val="31"/>
        </w:numPr>
        <w:spacing w:lineRule="auto"/>
      </w:pPr>
      <w:r>
        <w:rPr/>
        <w:t xml:space="preserve">W-01 Inkoop &amp; Menu-engine</w:t>
      </w:r>
    </w:p>
    <w:p>
      <w:pPr>
        <w:numPr>
          <w:ilvl w:val="1"/>
          <w:numId w:val="32"/>
        </w:numPr>
        <w:spacing w:lineRule="auto"/>
      </w:pPr>
      <w:r>
        <w:rPr/>
        <w:t xml:space="preserve">KPI: ≥25% biologisch; ≥30% lokaal/regionaal maandelijks.</w:t>
      </w:r>
    </w:p>
    <w:p>
      <w:pPr>
        <w:numPr>
          <w:ilvl w:val="1"/>
          <w:numId w:val="32"/>
        </w:numPr>
        <w:spacing w:lineRule="auto"/>
      </w:pPr>
      <w:r>
        <w:rPr/>
        <w:t xml:space="preserve">Risico: Schaarste bio/lokaal (prijs/levering).</w:t>
      </w:r>
    </w:p>
    <w:p>
      <w:pPr>
        <w:numPr>
          <w:ilvl w:val="1"/>
          <w:numId w:val="32"/>
        </w:numPr>
        <w:spacing w:lineRule="auto"/>
      </w:pPr>
      <w:r>
        <w:rPr/>
        <w:t xml:space="preserve">Plan: Contracten met twee bronnen per categorie; seizoenscyclus per 13 weken.</w:t>
      </w:r>
    </w:p>
    <w:p>
      <w:pPr>
        <w:numPr>
          <w:ilvl w:val="1"/>
          <w:numId w:val="32"/>
        </w:numPr>
        <w:spacing w:lineRule="auto"/>
      </w:pPr>
      <w:r>
        <w:rPr/>
        <w:t xml:space="preserve">Do: Inkoop via goedgekeurde leverancierslijst.</w:t>
      </w:r>
    </w:p>
    <w:p>
      <w:pPr>
        <w:numPr>
          <w:ilvl w:val="1"/>
          <w:numId w:val="32"/>
        </w:numPr>
        <w:spacing w:lineRule="auto"/>
      </w:pPr>
      <w:r>
        <w:rPr/>
        <w:t xml:space="preserve">Check: Maandrapport spend-analyse; steekproef certificaten.</w:t>
      </w:r>
    </w:p>
    <w:p>
      <w:pPr>
        <w:numPr>
          <w:ilvl w:val="1"/>
          <w:numId w:val="32"/>
        </w:numPr>
        <w:spacing w:lineRule="auto"/>
      </w:pPr>
      <w:r>
        <w:rPr/>
        <w:t xml:space="preserve">Act: Substitutie bij afwijking &gt;2% binnen 10 werkdagen.</w:t>
      </w:r>
    </w:p>
    <w:p>
      <w:pPr>
        <w:numPr>
          <w:ilvl w:val="1"/>
          <w:numId w:val="32"/>
        </w:numPr>
        <w:spacing w:lineRule="auto"/>
      </w:pPr>
      <w:r>
        <w:rPr/>
        <w:t xml:space="preserve">Bewijs: Leverancierscertificaten, spend-rapporten.</w:t>
      </w:r>
    </w:p>
    <w:p>
      <w:pPr>
        <w:numPr>
          <w:ilvl w:val="0"/>
          <w:numId w:val="31"/>
        </w:numPr>
        <w:spacing w:lineRule="auto"/>
      </w:pPr>
      <w:r>
        <w:rPr/>
        <w:t xml:space="preserve">W-02 Productie &amp; Voedselveiligheid</w:t>
      </w:r>
    </w:p>
    <w:p>
      <w:pPr>
        <w:numPr>
          <w:ilvl w:val="1"/>
          <w:numId w:val="33"/>
        </w:numPr>
        <w:spacing w:lineRule="auto"/>
      </w:pPr>
      <w:r>
        <w:rPr/>
        <w:t xml:space="preserve">KPI: Allergenenfouten 0; klachten voedselveiligheid 0.</w:t>
      </w:r>
    </w:p>
    <w:p>
      <w:pPr>
        <w:numPr>
          <w:ilvl w:val="1"/>
          <w:numId w:val="33"/>
        </w:numPr>
        <w:spacing w:lineRule="auto"/>
      </w:pPr>
      <w:r>
        <w:rPr/>
        <w:t xml:space="preserve">Risico: Cross-contaminatie.</w:t>
      </w:r>
    </w:p>
    <w:p>
      <w:pPr>
        <w:numPr>
          <w:ilvl w:val="1"/>
          <w:numId w:val="33"/>
        </w:numPr>
        <w:spacing w:lineRule="auto"/>
      </w:pPr>
      <w:r>
        <w:rPr/>
        <w:t xml:space="preserve">Plan: Fysieke scheiding lijnen en kleurcodering; CCP’s per batch.</w:t>
      </w:r>
    </w:p>
    <w:p>
      <w:pPr>
        <w:numPr>
          <w:ilvl w:val="1"/>
          <w:numId w:val="33"/>
        </w:numPr>
        <w:spacing w:lineRule="auto"/>
      </w:pPr>
      <w:r>
        <w:rPr/>
        <w:t xml:space="preserve">Do: Allergen tagging in ERP; batchlabels met QR.</w:t>
      </w:r>
    </w:p>
    <w:p>
      <w:pPr>
        <w:numPr>
          <w:ilvl w:val="1"/>
          <w:numId w:val="33"/>
        </w:numPr>
        <w:spacing w:lineRule="auto"/>
      </w:pPr>
      <w:r>
        <w:rPr/>
        <w:t xml:space="preserve">Check: Dagelijkse lijn-audits; wekelijkse swab-tests.</w:t>
      </w:r>
    </w:p>
    <w:p>
      <w:pPr>
        <w:numPr>
          <w:ilvl w:val="1"/>
          <w:numId w:val="33"/>
        </w:numPr>
        <w:spacing w:lineRule="auto"/>
      </w:pPr>
      <w:r>
        <w:rPr/>
        <w:t xml:space="preserve">Act: Directe blokkade batch bij afwijking; RCA binnen 24 uur.</w:t>
      </w:r>
    </w:p>
    <w:p>
      <w:pPr>
        <w:numPr>
          <w:ilvl w:val="1"/>
          <w:numId w:val="33"/>
        </w:numPr>
        <w:spacing w:lineRule="auto"/>
      </w:pPr>
      <w:r>
        <w:rPr/>
        <w:t xml:space="preserve">Bewijs: ISO 22000, HACCP-logs, schoonmaakregistraties.</w:t>
      </w:r>
    </w:p>
    <w:p>
      <w:pPr>
        <w:numPr>
          <w:ilvl w:val="0"/>
          <w:numId w:val="31"/>
        </w:numPr>
        <w:spacing w:lineRule="auto"/>
      </w:pPr>
      <w:r>
        <w:rPr/>
        <w:t xml:space="preserve">W-03 Logistiek &amp; Vensters</w:t>
      </w:r>
    </w:p>
    <w:p>
      <w:pPr>
        <w:numPr>
          <w:ilvl w:val="1"/>
          <w:numId w:val="34"/>
        </w:numPr>
        <w:spacing w:lineRule="auto"/>
      </w:pPr>
      <w:r>
        <w:rPr/>
        <w:t xml:space="preserve">KPI: Op tijd geleverd ≥98%.</w:t>
      </w:r>
    </w:p>
    <w:p>
      <w:pPr>
        <w:numPr>
          <w:ilvl w:val="1"/>
          <w:numId w:val="34"/>
        </w:numPr>
        <w:spacing w:lineRule="auto"/>
      </w:pPr>
      <w:r>
        <w:rPr/>
        <w:t xml:space="preserve">Risico: Stadslogistiek/bruggen/openbare orde.</w:t>
      </w:r>
    </w:p>
    <w:p>
      <w:pPr>
        <w:numPr>
          <w:ilvl w:val="1"/>
          <w:numId w:val="34"/>
        </w:numPr>
        <w:spacing w:lineRule="auto"/>
      </w:pPr>
      <w:r>
        <w:rPr/>
        <w:t xml:space="preserve">Plan: Tijdslotplanning + buffer 20%; elektrische voertuigen met geofencing.</w:t>
      </w:r>
    </w:p>
    <w:p>
      <w:pPr>
        <w:numPr>
          <w:ilvl w:val="1"/>
          <w:numId w:val="34"/>
        </w:numPr>
        <w:spacing w:lineRule="auto"/>
      </w:pPr>
      <w:r>
        <w:rPr/>
        <w:t xml:space="preserve">Do: Real-time ritmonitoring; fallback koerierscontract.</w:t>
      </w:r>
    </w:p>
    <w:p>
      <w:pPr>
        <w:numPr>
          <w:ilvl w:val="1"/>
          <w:numId w:val="34"/>
        </w:numPr>
        <w:spacing w:lineRule="auto"/>
      </w:pPr>
      <w:r>
        <w:rPr/>
        <w:t xml:space="preserve">Check: Ritdata vs. vensters dagrapport.</w:t>
      </w:r>
    </w:p>
    <w:p>
      <w:pPr>
        <w:numPr>
          <w:ilvl w:val="1"/>
          <w:numId w:val="34"/>
        </w:numPr>
        <w:spacing w:lineRule="auto"/>
      </w:pPr>
      <w:r>
        <w:rPr/>
        <w:t xml:space="preserve">Act: Routeherontwerp bij SLA-dip &gt;1% week.</w:t>
      </w:r>
    </w:p>
    <w:p>
      <w:pPr>
        <w:numPr>
          <w:ilvl w:val="1"/>
          <w:numId w:val="34"/>
        </w:numPr>
        <w:spacing w:lineRule="auto"/>
      </w:pPr>
      <w:r>
        <w:rPr/>
        <w:t xml:space="preserve">Bewijs: Telematica-logs, afleverscans.</w:t>
      </w:r>
    </w:p>
    <w:p>
      <w:pPr>
        <w:numPr>
          <w:ilvl w:val="0"/>
          <w:numId w:val="31"/>
        </w:numPr>
        <w:spacing w:lineRule="auto"/>
      </w:pPr>
      <w:r>
        <w:rPr/>
        <w:t xml:space="preserve">W-04 Bestelsysteem &amp; Dieetprofielen</w:t>
      </w:r>
    </w:p>
    <w:p>
      <w:pPr>
        <w:numPr>
          <w:ilvl w:val="1"/>
          <w:numId w:val="35"/>
        </w:numPr>
        <w:spacing w:lineRule="auto"/>
      </w:pPr>
      <w:r>
        <w:rPr/>
        <w:t xml:space="preserve">KPI: Systeem-uptime ≥99,5%; profieldekking ≥95%.</w:t>
      </w:r>
    </w:p>
    <w:p>
      <w:pPr>
        <w:numPr>
          <w:ilvl w:val="1"/>
          <w:numId w:val="35"/>
        </w:numPr>
        <w:spacing w:lineRule="auto"/>
      </w:pPr>
      <w:r>
        <w:rPr/>
        <w:t xml:space="preserve">Risico: Onvolledige profielen; systeemstoring.</w:t>
      </w:r>
    </w:p>
    <w:p>
      <w:pPr>
        <w:numPr>
          <w:ilvl w:val="1"/>
          <w:numId w:val="35"/>
        </w:numPr>
        <w:spacing w:lineRule="auto"/>
      </w:pPr>
      <w:r>
        <w:rPr/>
        <w:t xml:space="preserve">Plan: Onboarding-campagne en SSO-optie.</w:t>
      </w:r>
    </w:p>
    <w:p>
      <w:pPr>
        <w:numPr>
          <w:ilvl w:val="1"/>
          <w:numId w:val="35"/>
        </w:numPr>
        <w:spacing w:lineRule="auto"/>
      </w:pPr>
      <w:r>
        <w:rPr/>
        <w:t xml:space="preserve">Do: 2FA, back-ups, status-pagina.</w:t>
      </w:r>
    </w:p>
    <w:p>
      <w:pPr>
        <w:numPr>
          <w:ilvl w:val="1"/>
          <w:numId w:val="35"/>
        </w:numPr>
        <w:spacing w:lineRule="auto"/>
      </w:pPr>
      <w:r>
        <w:rPr/>
        <w:t xml:space="preserve">Check: Maandelijkse uptime-rapportage; datakwaliteitscontroles.</w:t>
      </w:r>
    </w:p>
    <w:p>
      <w:pPr>
        <w:numPr>
          <w:ilvl w:val="1"/>
          <w:numId w:val="35"/>
        </w:numPr>
        <w:spacing w:lineRule="auto"/>
      </w:pPr>
      <w:r>
        <w:rPr/>
        <w:t xml:space="preserve">Act: Bugfix SLA P1 &lt;4 uur; educatie push bij foutenpatronen.</w:t>
      </w:r>
    </w:p>
    <w:p>
      <w:pPr>
        <w:numPr>
          <w:ilvl w:val="1"/>
          <w:numId w:val="35"/>
        </w:numPr>
        <w:spacing w:lineRule="auto"/>
      </w:pPr>
      <w:r>
        <w:rPr/>
        <w:t xml:space="preserve">Bewijs: Uptime-rapporten, changelogs, DPIA.</w:t>
      </w:r>
    </w:p>
    <w:p>
      <w:pPr>
        <w:numPr>
          <w:ilvl w:val="0"/>
          <w:numId w:val="31"/>
        </w:numPr>
        <w:spacing w:lineRule="auto"/>
      </w:pPr>
      <w:r>
        <w:rPr/>
        <w:t xml:space="preserve">W-05 Zero-waste &amp; Foodwaste</w:t>
      </w:r>
    </w:p>
    <w:p>
      <w:pPr>
        <w:numPr>
          <w:ilvl w:val="1"/>
          <w:numId w:val="36"/>
        </w:numPr>
        <w:spacing w:lineRule="auto"/>
      </w:pPr>
      <w:r>
        <w:rPr/>
        <w:t xml:space="preserve">KPI: Foodwaste &lt;3%; retourgraad herbruikbaar ≥95%.</w:t>
      </w:r>
    </w:p>
    <w:p>
      <w:pPr>
        <w:numPr>
          <w:ilvl w:val="1"/>
          <w:numId w:val="36"/>
        </w:numPr>
        <w:spacing w:lineRule="auto"/>
      </w:pPr>
      <w:r>
        <w:rPr/>
        <w:t xml:space="preserve">Risico: Niet-retour, contaminatie.</w:t>
      </w:r>
    </w:p>
    <w:p>
      <w:pPr>
        <w:numPr>
          <w:ilvl w:val="1"/>
          <w:numId w:val="36"/>
        </w:numPr>
        <w:spacing w:lineRule="auto"/>
      </w:pPr>
      <w:r>
        <w:rPr/>
        <w:t xml:space="preserve">Plan: Retourpunten per locatie + visuele instructies.</w:t>
      </w:r>
    </w:p>
    <w:p>
      <w:pPr>
        <w:numPr>
          <w:ilvl w:val="1"/>
          <w:numId w:val="36"/>
        </w:numPr>
        <w:spacing w:lineRule="auto"/>
      </w:pPr>
      <w:r>
        <w:rPr/>
        <w:t xml:space="preserve">Do: Weegmomenten uitgifte/retour; etikettering houdbaarheidsdatum.</w:t>
      </w:r>
    </w:p>
    <w:p>
      <w:pPr>
        <w:numPr>
          <w:ilvl w:val="1"/>
          <w:numId w:val="36"/>
        </w:numPr>
        <w:spacing w:lineRule="auto"/>
      </w:pPr>
      <w:r>
        <w:rPr/>
        <w:t xml:space="preserve">Check: Dashboard per locatie, weekreview.</w:t>
      </w:r>
    </w:p>
    <w:p>
      <w:pPr>
        <w:numPr>
          <w:ilvl w:val="1"/>
          <w:numId w:val="36"/>
        </w:numPr>
        <w:spacing w:lineRule="auto"/>
      </w:pPr>
      <w:r>
        <w:rPr/>
        <w:t xml:space="preserve">Act: Extra training of logistieke aanpassing bij &gt;3% waste 2 weken op rij.</w:t>
      </w:r>
    </w:p>
    <w:p>
      <w:pPr>
        <w:numPr>
          <w:ilvl w:val="1"/>
          <w:numId w:val="36"/>
        </w:numPr>
        <w:spacing w:lineRule="auto"/>
      </w:pPr>
      <w:r>
        <w:rPr/>
        <w:t xml:space="preserve">Bewijs: Weeglogs, retourinventaris.</w:t>
      </w:r>
    </w:p>
    <w:p>
      <w:pPr>
        <w:numPr>
          <w:ilvl w:val="0"/>
          <w:numId w:val="31"/>
        </w:numPr>
        <w:spacing w:lineRule="auto"/>
      </w:pPr>
      <w:r>
        <w:rPr/>
        <w:t xml:space="preserve">W-06 Klantcontact &amp; Tevredenheid</w:t>
      </w:r>
    </w:p>
    <w:p>
      <w:pPr>
        <w:numPr>
          <w:ilvl w:val="1"/>
          <w:numId w:val="37"/>
        </w:numPr>
        <w:spacing w:lineRule="auto"/>
      </w:pPr>
      <w:r>
        <w:rPr/>
        <w:t xml:space="preserve">KPI: Klanttevredenheid ≥8,2; klachtoplossing ≤2 werkdagen 95%.</w:t>
      </w:r>
    </w:p>
    <w:p>
      <w:pPr>
        <w:numPr>
          <w:ilvl w:val="1"/>
          <w:numId w:val="37"/>
        </w:numPr>
        <w:spacing w:lineRule="auto"/>
      </w:pPr>
      <w:r>
        <w:rPr/>
        <w:t xml:space="preserve">Risico: Belevingskwaliteit fluctueert.</w:t>
      </w:r>
    </w:p>
    <w:p>
      <w:pPr>
        <w:numPr>
          <w:ilvl w:val="1"/>
          <w:numId w:val="37"/>
        </w:numPr>
        <w:spacing w:lineRule="auto"/>
      </w:pPr>
      <w:r>
        <w:rPr/>
        <w:t xml:space="preserve">Plan: Menu-feedback-lus en pilots voor seizoenswissels.</w:t>
      </w:r>
    </w:p>
    <w:p>
      <w:pPr>
        <w:numPr>
          <w:ilvl w:val="1"/>
          <w:numId w:val="37"/>
        </w:numPr>
        <w:spacing w:lineRule="auto"/>
      </w:pPr>
      <w:r>
        <w:rPr/>
        <w:t xml:space="preserve">Do: Maandelijkse proeverij met key users.</w:t>
      </w:r>
    </w:p>
    <w:p>
      <w:pPr>
        <w:numPr>
          <w:ilvl w:val="1"/>
          <w:numId w:val="37"/>
        </w:numPr>
        <w:spacing w:lineRule="auto"/>
      </w:pPr>
      <w:r>
        <w:rPr/>
        <w:t xml:space="preserve">Check: NPS/CES/CSAT per kwartaal.</w:t>
      </w:r>
    </w:p>
    <w:p>
      <w:pPr>
        <w:numPr>
          <w:ilvl w:val="1"/>
          <w:numId w:val="37"/>
        </w:numPr>
        <w:spacing w:lineRule="auto"/>
      </w:pPr>
      <w:r>
        <w:rPr/>
        <w:t xml:space="preserve">Act: Menu-tuning bij categorie &lt;8,0.</w:t>
      </w:r>
    </w:p>
    <w:p>
      <w:pPr>
        <w:numPr>
          <w:ilvl w:val="1"/>
          <w:numId w:val="37"/>
        </w:numPr>
        <w:spacing w:lineRule="auto"/>
      </w:pPr>
      <w:r>
        <w:rPr/>
        <w:t xml:space="preserve">Bewijs: Enquête-rapporten, actielijsten.</w:t>
      </w:r>
    </w:p>
    <w:p>
      <w:pPr>
        <w:numPr>
          <w:ilvl w:val="0"/>
          <w:numId w:val="31"/>
        </w:numPr>
        <w:spacing w:lineRule="auto"/>
      </w:pPr>
      <w:r>
        <w:rPr/>
        <w:t xml:space="preserve">W-07 Continuïteit &amp; Calamiteiten</w:t>
      </w:r>
    </w:p>
    <w:p>
      <w:pPr>
        <w:numPr>
          <w:ilvl w:val="1"/>
          <w:numId w:val="38"/>
        </w:numPr>
        <w:spacing w:lineRule="auto"/>
      </w:pPr>
      <w:r>
        <w:rPr/>
        <w:t xml:space="preserve">KPI: Ononderbroken dienstverlening 99,8%.</w:t>
      </w:r>
    </w:p>
    <w:p>
      <w:pPr>
        <w:numPr>
          <w:ilvl w:val="1"/>
          <w:numId w:val="38"/>
        </w:numPr>
        <w:spacing w:lineRule="auto"/>
      </w:pPr>
      <w:r>
        <w:rPr/>
        <w:t xml:space="preserve">Risico: Uitval productiekeuken/IT.</w:t>
      </w:r>
    </w:p>
    <w:p>
      <w:pPr>
        <w:numPr>
          <w:ilvl w:val="1"/>
          <w:numId w:val="38"/>
        </w:numPr>
        <w:spacing w:lineRule="auto"/>
      </w:pPr>
      <w:r>
        <w:rPr/>
        <w:t xml:space="preserve">Plan: Back-up productiepartner, noodmenu’s.</w:t>
      </w:r>
    </w:p>
    <w:p>
      <w:pPr>
        <w:numPr>
          <w:ilvl w:val="1"/>
          <w:numId w:val="38"/>
        </w:numPr>
        <w:spacing w:lineRule="auto"/>
      </w:pPr>
      <w:r>
        <w:rPr/>
        <w:t xml:space="preserve">Do: Oefening halfjaarlijks; redundante hosting.</w:t>
      </w:r>
    </w:p>
    <w:p>
      <w:pPr>
        <w:numPr>
          <w:ilvl w:val="1"/>
          <w:numId w:val="38"/>
        </w:numPr>
        <w:spacing w:lineRule="auto"/>
      </w:pPr>
      <w:r>
        <w:rPr/>
        <w:t xml:space="preserve">Check: Oefenrapportages; RTO/RPO-meting.</w:t>
      </w:r>
    </w:p>
    <w:p>
      <w:pPr>
        <w:numPr>
          <w:ilvl w:val="1"/>
          <w:numId w:val="38"/>
        </w:numPr>
        <w:spacing w:lineRule="auto"/>
      </w:pPr>
      <w:r>
        <w:rPr/>
        <w:t xml:space="preserve">Act: Planupdate en communicatieprotocollen.</w:t>
      </w:r>
    </w:p>
    <w:p>
      <w:pPr>
        <w:numPr>
          <w:ilvl w:val="1"/>
          <w:numId w:val="38"/>
        </w:numPr>
        <w:spacing w:lineRule="auto"/>
      </w:pPr>
      <w:r>
        <w:rPr/>
        <w:t xml:space="preserve">Bewijs: BC/DR-plan, testverslagen.</w:t>
      </w:r>
    </w:p>
    <w:p>
      <w:pPr>
        <w:numPr>
          <w:ilvl w:val="0"/>
          <w:numId w:val="39"/>
        </w:numPr>
        <w:spacing w:lineRule="auto"/>
      </w:pPr>
      <w:r>
        <w:rPr/>
        <w:t xml:space="preserve">KO- en MUST-conformiteit (bewijs)</w:t>
      </w:r>
    </w:p>
    <w:p>
      <w:pPr>
        <w:numPr>
          <w:ilvl w:val="0"/>
          <w:numId w:val="40"/>
        </w:numPr>
        <w:spacing w:lineRule="auto"/>
      </w:pPr>
      <w:r>
        <w:rPr/>
        <w:t xml:space="preserve">KO: HACCP en ISO 22000 geldig; verklaring en certificaten beschikbaar voor inzage.</w:t>
      </w:r>
    </w:p>
    <w:p>
      <w:pPr>
        <w:numPr>
          <w:ilvl w:val="0"/>
          <w:numId w:val="40"/>
        </w:numPr>
        <w:spacing w:lineRule="auto"/>
      </w:pPr>
      <w:r>
        <w:rPr/>
        <w:t xml:space="preserve">KO: Levercapaciteit ≥500 couverts/dag; productie- en distributieplanning met capaciteitsbewijzen (materiaal en personeel) beschikbaar.</w:t>
      </w:r>
    </w:p>
    <w:p>
      <w:pPr>
        <w:numPr>
          <w:ilvl w:val="0"/>
          <w:numId w:val="40"/>
        </w:numPr>
        <w:spacing w:lineRule="auto"/>
      </w:pPr>
      <w:r>
        <w:rPr/>
        <w:t xml:space="preserve">MUST: Allergenenregistratie, 25% bio, 30% lokaal/regionaal, foodwaste &lt;3%, zero-waste verpakkingen; wordt aantoonbaar gerapporteerd per maand.</w:t>
      </w:r>
    </w:p>
    <w:p>
      <w:pPr>
        <w:numPr>
          <w:ilvl w:val="0"/>
          <w:numId w:val="41"/>
        </w:numPr>
        <w:spacing w:lineRule="auto"/>
      </w:pPr>
      <w:r>
        <w:rPr/>
        <w:t xml:space="preserve">Governance en PDCA-cyclus</w:t>
      </w:r>
    </w:p>
    <w:p>
      <w:pPr>
        <w:numPr>
          <w:ilvl w:val="0"/>
          <w:numId w:val="42"/>
        </w:numPr>
        <w:spacing w:lineRule="auto"/>
      </w:pPr>
      <w:r>
        <w:rPr/>
        <w:t xml:space="preserve">Maandelijkse review: KPI-dashboards, klachten, foodwaste, spend bio/lokaal.</w:t>
      </w:r>
    </w:p>
    <w:p>
      <w:pPr>
        <w:numPr>
          <w:ilvl w:val="0"/>
          <w:numId w:val="42"/>
        </w:numPr>
        <w:spacing w:lineRule="auto"/>
      </w:pPr>
      <w:r>
        <w:rPr/>
        <w:t xml:space="preserve">Kwartaal-EMVI-verbetersessies: minimaal 2 verbetervoorstellen per kwartaal met verwachte impact, doorlooptijd en eigenaar.</w:t>
      </w:r>
    </w:p>
    <w:p>
      <w:pPr>
        <w:numPr>
          <w:ilvl w:val="0"/>
          <w:numId w:val="42"/>
        </w:numPr>
        <w:spacing w:lineRule="auto"/>
      </w:pPr>
      <w:r>
        <w:rPr/>
        <w:t xml:space="preserve">Escalatiepaden: Operationeel binnen 2 uur; tactisch binnen 1 werkdag; strategisch binnen 5 werkdagen.</w:t>
      </w:r>
    </w:p>
    <w:p>
      <w:pPr>
        <w:numPr>
          <w:ilvl w:val="0"/>
          <w:numId w:val="43"/>
        </w:numPr>
        <w:spacing w:lineRule="auto"/>
      </w:pPr>
      <w:r>
        <w:rPr/>
        <w:t xml:space="preserve">Overige aannames</w:t>
      </w:r>
    </w:p>
    <w:p>
      <w:pPr>
        <w:numPr>
          <w:ilvl w:val="0"/>
          <w:numId w:val="44"/>
        </w:numPr>
        <w:spacing w:lineRule="auto"/>
      </w:pPr>
      <w:r>
        <w:rPr/>
        <w:t xml:space="preserve">Veiligheid: Chauffeurs krijgen toegang zonder onredelijke vertraging door security. PBM’s en BHV op orde.</w:t>
      </w:r>
    </w:p>
    <w:p>
      <w:pPr>
        <w:numPr>
          <w:ilvl w:val="0"/>
          <w:numId w:val="44"/>
        </w:numPr>
        <w:spacing w:lineRule="auto"/>
      </w:pPr>
      <w:r>
        <w:rPr/>
        <w:t xml:space="preserve">Milieu: Elektrische voertuigen en bundeling van ritten; CO2-rapportage per kwartaal.</w:t>
      </w:r>
    </w:p>
    <w:p>
      <w:pPr>
        <w:spacing w:lineRule="auto"/>
      </w:pPr>
      <w:r>
        <w:rPr/>
        <w:t xml:space="preserve">Benodigde input:</w:t>
      </w:r>
    </w:p>
    <w:p>
      <w:pPr>
        <w:numPr>
          <w:ilvl w:val="0"/>
          <w:numId w:val="45"/>
        </w:numPr>
        <w:spacing w:lineRule="auto"/>
      </w:pPr>
      <w:r>
        <w:rPr/>
        <w:t xml:space="preserve">Lijst locaties met adressen, contactpersonen, laad-/losinstructies en toegangsrestricties.</w:t>
      </w:r>
    </w:p>
    <w:p>
      <w:pPr>
        <w:numPr>
          <w:ilvl w:val="0"/>
          <w:numId w:val="45"/>
        </w:numPr>
        <w:spacing w:lineRule="auto"/>
      </w:pPr>
      <w:r>
        <w:rPr/>
        <w:t xml:space="preserve">Verwachte couverts per locatie per dag (baseline en seizoensvariaties).</w:t>
      </w:r>
    </w:p>
    <w:p>
      <w:pPr>
        <w:numPr>
          <w:ilvl w:val="0"/>
          <w:numId w:val="45"/>
        </w:numPr>
        <w:spacing w:lineRule="auto"/>
      </w:pPr>
      <w:r>
        <w:rPr/>
        <w:t xml:space="preserve">Eventuele blacklists/allergenenbeleid per organisatieonderdeel.</w:t>
      </w:r>
    </w:p>
    <w:p>
      <w:pPr>
        <w:numPr>
          <w:ilvl w:val="0"/>
          <w:numId w:val="45"/>
        </w:numPr>
        <w:spacing w:lineRule="auto"/>
      </w:pPr>
      <w:r>
        <w:rPr/>
        <w:t xml:space="preserve">Gewenste betaal-/facturatie-indeling (kostenplaatsen, PO-vereisten).</w:t>
      </w:r>
    </w:p>
    <w:p>
      <w:pPr>
        <w:numPr>
          <w:ilvl w:val="0"/>
          <w:numId w:val="45"/>
        </w:numPr>
        <w:spacing w:lineRule="auto"/>
      </w:pPr>
      <w:r>
        <w:rPr/>
        <w:t xml:space="preserve">Beschikbaarheid en locaties van retourpunten voor herbruikbare verpakkingen.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Assumpties &amp; Uitsluitingen</dc:title>
  <dc:subject/>
  <dc:creator>html-to-docx</dc:creator>
  <cp:keywords>html-to-docx</cp:keywords>
  <dc:description/>
  <cp:lastModifiedBy>html-to-docx</cp:lastModifiedBy>
  <cp:revision>1</cp:revision>
  <dcterms:created xsi:type="dcterms:W3CDTF">2025-11-04T09:23:04.643Z</dcterms:created>
  <dcterms:modified xsi:type="dcterms:W3CDTF">2025-11-04T09:23:04.643Z</dcterms:modified>
</cp:coreProperties>
</file>