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headerReference r:id="rId6" w:type="default"/>
      <w:footerReference r:id="rId7" w:type="default"/>
    </w:sectPr>
    <w:p>
      <w:pPr>
        <w:spacing w:lineRule="auto"/>
      </w:pPr>
      <w:r>
        <w:rPr/>
        <w:t xml:space="preserve"/>
      </w:r>
    </w:p>
    <w:p>
      <w:pPr>
        <w:pStyle w:val="Heading1"/>
        <w:spacing w:lineRule="auto"/>
      </w:pPr>
      <w:r>
        <w:rPr/>
        <w:t xml:space="preserve">Beoordelingsmethodiek (EMVI/BPKV)</w:t>
      </w:r>
    </w:p>
    <w:p>
      <w:pPr>
        <w:pStyle w:val="Heading2"/>
        <w:spacing w:lineRule="auto"/>
      </w:pPr>
      <w:r>
        <w:rPr/>
        <w:t xml:space="preserve">Caternext B.V. — Raamovereenkomst Duurzame Catering en Bedrijfslunch 2026–2030</w:t>
      </w:r>
    </w:p>
    <w:p>
      <w:pPr>
        <w:spacing w:lineRule="auto"/>
      </w:pPr>
      <w:r>
        <w:rPr/>
        <w:t xml:space="preserve">     04 november 2025</w:t>
      </w:r>
    </w:p>
    <w:p>
      <w:pPr>
        <w:spacing w:lineRule="auto"/>
      </w:pPr>
      <w:r>
        <w:rPr/>
      </w:r>
    </w:p>
    <w:p>
      <w:pPr>
        <w:spacing w:lineRule="auto"/>
      </w:pPr>
      <w:r>
        <w:rPr/>
        <w:t xml:space="preserve">     Automatisch gegenereerd door </w:t>
      </w:r>
    </w:p>
    <w:p>
      <w:pPr>
        <w:spacing w:lineRule="auto"/>
      </w:pPr>
      <w:r>
        <w:rPr>
          <w:b/>
        </w:rPr>
        <w:t xml:space="preserve">TenderAI</w:t>
      </w:r>
    </w:p>
    <w:p>
      <w:r>
        <w:br w:type="page"/>
      </w:r>
    </w:p>
    <w:p>
      <w:pPr>
        <w:spacing w:lineRule="auto"/>
      </w:pPr>
      <w:r>
        <w:rPr/>
        <w:t xml:space="preserve">Beoordelingsmethodiek BPKV/EMVI – Raamovereenkomst Duurzame Catering en Bedrijfslunch 2026–2030 (GEM-AMS-CATER-2026-014)</w:t>
      </w:r>
    </w:p>
    <w:p>
      <w:pPr>
        <w:spacing w:lineRule="auto"/>
      </w:pPr>
      <w:r>
        <w:rPr/>
        <w:t xml:space="preserve">Doel Deze methodiek borgt een transparante, SMART en PDCA-conforme beoordeling van EMVI-criteria voor de raamovereenkomst van de Gemeente Amsterdam. We sluiten aan op KO-eisen (HACCP/ISO 22000, levercapaciteit ≥500 couverts/dag) en must-haves (allergenenregistratie, 25% biologisch, 30% lokaal/regionaal, foodwaste &lt;3%, zero-waste verpakkingen). Caternext B.V. legt hieronder de beoordelingsstructuur, invulling, KPI’s, risico’s, bewijsvoering en werkpakketten (W-xx) vast.</w:t>
      </w:r>
    </w:p>
    <w:p>
      <w:pPr>
        <w:spacing w:lineRule="auto"/>
      </w:pPr>
      <w:r>
        <w:rPr/>
        <w:t xml:space="preserve">Definitie werkpakketten (W-xx)</w:t>
      </w:r>
    </w:p>
    <w:p>
      <w:pPr>
        <w:numPr>
          <w:ilvl w:val="0"/>
          <w:numId w:val="1"/>
        </w:numPr>
        <w:spacing w:lineRule="auto"/>
      </w:pPr>
      <w:r>
        <w:rPr/>
        <w:t xml:space="preserve">W-01 Menu &amp; Voedingsontwerp: seizoensmenu’s, variatie, receptuurbeheer.</w:t>
      </w:r>
    </w:p>
    <w:p>
      <w:pPr>
        <w:numPr>
          <w:ilvl w:val="0"/>
          <w:numId w:val="1"/>
        </w:numPr>
        <w:spacing w:lineRule="auto"/>
      </w:pPr>
      <w:r>
        <w:rPr/>
        <w:t xml:space="preserve">W-02 Allergenen &amp; Dieetprofielen: EU 1169/2011, digitale profielen, labeling.</w:t>
      </w:r>
    </w:p>
    <w:p>
      <w:pPr>
        <w:numPr>
          <w:ilvl w:val="0"/>
          <w:numId w:val="1"/>
        </w:numPr>
        <w:spacing w:lineRule="auto"/>
      </w:pPr>
      <w:r>
        <w:rPr/>
        <w:t xml:space="preserve">W-03 Inkoop &amp; Herkomst: lokaal/regionaal, biologisch, leveranciersmanagement.</w:t>
      </w:r>
    </w:p>
    <w:p>
      <w:pPr>
        <w:numPr>
          <w:ilvl w:val="0"/>
          <w:numId w:val="1"/>
        </w:numPr>
        <w:spacing w:lineRule="auto"/>
      </w:pPr>
      <w:r>
        <w:rPr/>
        <w:t xml:space="preserve">W-04 Productie &amp; Voedselveiligheid: ISO 22000/HACCP, traceerbaarheid.</w:t>
      </w:r>
    </w:p>
    <w:p>
      <w:pPr>
        <w:numPr>
          <w:ilvl w:val="0"/>
          <w:numId w:val="1"/>
        </w:numPr>
        <w:spacing w:lineRule="auto"/>
      </w:pPr>
      <w:r>
        <w:rPr/>
        <w:t xml:space="preserve">W-05 Logistiek &amp; Vensters: routing, tijdigheid, multi-locatielevering.</w:t>
      </w:r>
    </w:p>
    <w:p>
      <w:pPr>
        <w:numPr>
          <w:ilvl w:val="0"/>
          <w:numId w:val="1"/>
        </w:numPr>
        <w:spacing w:lineRule="auto"/>
      </w:pPr>
      <w:r>
        <w:rPr/>
        <w:t xml:space="preserve">W-06 Zero-waste &amp; Verpakking: herbruikbaar, take-back, hygiëneprotocollen.</w:t>
      </w:r>
    </w:p>
    <w:p>
      <w:pPr>
        <w:numPr>
          <w:ilvl w:val="0"/>
          <w:numId w:val="1"/>
        </w:numPr>
        <w:spacing w:lineRule="auto"/>
      </w:pPr>
      <w:r>
        <w:rPr/>
        <w:t xml:space="preserve">W-07 Digitaal Bestellen &amp; Data: portaal, API, dashboards, facturatie.</w:t>
      </w:r>
    </w:p>
    <w:p>
      <w:pPr>
        <w:numPr>
          <w:ilvl w:val="0"/>
          <w:numId w:val="1"/>
        </w:numPr>
        <w:spacing w:lineRule="auto"/>
      </w:pPr>
      <w:r>
        <w:rPr/>
        <w:t xml:space="preserve">W-08 Klantbeleving &amp; Feedback: NPS, klachtenafhandeling, communicatie.</w:t>
      </w:r>
    </w:p>
    <w:p>
      <w:pPr>
        <w:numPr>
          <w:ilvl w:val="0"/>
          <w:numId w:val="1"/>
        </w:numPr>
        <w:spacing w:lineRule="auto"/>
      </w:pPr>
      <w:r>
        <w:rPr/>
        <w:t xml:space="preserve">W-09 Risico &amp; Continuïteit: BIA/BCP, dual sourcing, incidentrespons.</w:t>
      </w:r>
    </w:p>
    <w:p>
      <w:pPr>
        <w:numPr>
          <w:ilvl w:val="0"/>
          <w:numId w:val="1"/>
        </w:numPr>
        <w:spacing w:lineRule="auto"/>
      </w:pPr>
      <w:r>
        <w:rPr/>
        <w:t xml:space="preserve">W-10 Governance &amp; Rapportage: KPI-review, open-book prijs, audits.</w:t>
      </w:r>
    </w:p>
    <w:p>
      <w:pPr>
        <w:spacing w:lineRule="auto"/>
      </w:pPr>
      <w:r>
        <w:rPr/>
        <w:t xml:space="preserve">Beoordelingsstructuur (weging, schaal, wat goed eruitziet, onze invulling, KPI, risico, bewijs, W-xx)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960"/>
        <w:gridCol w:w="960"/>
        <w:gridCol w:w="960"/>
        <w:gridCol w:w="960"/>
        <w:gridCol w:w="960"/>
        <w:gridCol w:w="960"/>
        <w:gridCol w:w="960"/>
        <w:gridCol w:w="960"/>
        <w:gridCol w:w="9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Criterium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Schaal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Wat goed eruitziet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Onze invulling (SMART)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KPI’s (meet- en streefwaarden)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Belangrijkste risico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Bewijs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Gerelateerde W-xx</w:t>
            </w:r>
          </w:p>
        </w:tc>
      </w:tr>
      <w:tblGrid>
        <w:gridCol w:w="960"/>
        <w:gridCol w:w="960"/>
        <w:gridCol w:w="960"/>
        <w:gridCol w:w="960"/>
        <w:gridCol w:w="960"/>
        <w:gridCol w:w="960"/>
        <w:gridCol w:w="960"/>
        <w:gridCol w:w="960"/>
        <w:gridCol w:w="96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Kwaliteit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 0 = niet conform; 6 = voldoet; 8 = sterk; 10 = excellent met aantoonbare plus op SLA’s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Consistente kwaliteit voor ≥500 couverts/dag, foutloze allergeneninformatie, hoge gebruikerstevredenheid, leverbetrouwbaarheid per locatie binnen 11:00–13:30, digitale bestelervaring met dieetprofielen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Vanaf dag 1: leverbetrouwbaarheid ≥99,2% per locatie/venster. - 8-weekse seizoensrotatie; dagelijks vegetarisch/vegan/glutenvrij alternatief. - 100% allergenenlabeling conform EU 1169/2011; digitale dieetprofielen met automatische blokkade bij conflicten. - Service desk 08:00–16:00, TTR klachten ≤1 werkdag. - Pilot op 2 locaties in maand 1; volledige uitrol binnen 3 maanden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Op tijd geleverd (SLA): ≥99,2% - Klanttevredenheid: ≥8,6 gemiddeld - Allergenen-fouten: 0 - Profieladoptie: ≥95% actieve dieetprofielen binnen 3 maanden - Herhaalindex menu ≤15% in 8 weken - TTR klacht ≤1 werkdag, 95-percentiel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Allergenen-crosscontact; piekbelasting (events); IT-storing; capaciteitskrapte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ISO 22000/HACCP certificaten - Procesbeschrijvingen allergenenbeheer - Systeem-screenshots bestelportaal - Leveringsrapportages en routeplannen - Trainingsoverzichten personeel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W-01, W-02, W-04, W-05, W-07, W-08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Duurzaamheid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 bewijs van overschrijden minimumeisen en aantoonbare CO2-reductie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Aantoonbaar &gt;25% biologisch en &gt;30% lokaal/regionaal, foodwaste &lt;3% geborgd, hoog aandeel herbruikbare verpakking; CO2-transparantie en reductie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Biologisch aandeel ≥30% en lokaal/regio ≥40% vanaf start; leverancierscontracten geborgd. - Foodwaste ≤2,0% (gemeten op gewicht per locatie, dagelijkse ‘weigh-back’). - Herbruikbare verpakking: ≥98% van stromen; retourlogistiek met wasprotocol. - CO2e-reductie: -25% t.o.v. 2026-baseline per maaltijd in 2028; jaarlijkse LCA-rapportage. - Vegetarische optie: minimaal 60% van aanbod per dag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 biologisch ≥30% - % lokaal/regio ≥40% - Foodwaste ≤2,0% - Herbruikbaar verpakt ≥98% - CO2e/maaltijd: -25% in 2028 vs 2026 - Donatie/rescue: ≥90% benutting van overschot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Beschikbaarheid lokale/biologische grondstoffen; uitval retoursysteem; hygiënerisico bij hergebruik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Leveranciersverklaringen (herkomst, SKAL) - Inkooprapporten en batch-traceerbaarheid - Weegdata en waste-dashboard - Verpakkings-SOP’s en hygiënechecks - LCA-methodiek en jaarverslag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W-03, W-06, W-04, W-05, W-07</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Risicobeheersing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 proactief risicodossier, getest BCP, aantoonbare veerkracht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Volledig risicoregister met eigenaren en triggers, getest continuïteitsplan (keuken, logistiek, IT, voedselveiligheid), dual sourcing, incidentdrills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Risicoregister (top-20) met eigenaar, detectie, drempelwaarden en mitigaties binnen 30 dagen na gunning. - Dual sourcing voor top-20 ingrediënten; 20% veiligheidsvoorraad voor lang-leverende items. - BCP getest 2x per jaar; recall/oefening 2x per jaar; logistieke stresstest 1x per jaar. - IT-fallback: offline picklijsten en QR-noodmenu binnen 30 min. - MTTR bij incident ≤2 uur in 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 kritieke risico’s met eigenaar/mitigatie: 100% - BCP/recall tests: 2 per jaar (100% uitgevoerd) - MTTR ≤2 uur (P95) - Leverbetrouwbaarheid tijdens incident ≥98% - Leveranciers-SLA naleving ≥95%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Leveranciersuitval; voertuigdowntime; keukentechniekstoring; IT-storing; recall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Risicodossier en BCP - Drill- en testverslagen - Leverancierscontracten en SLA’s - Onderhouds- en back-uplogs - Verzekerings- en recallprocedures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W-09, W-05, W-04, W-07, W-03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Prijs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 punten: laagste prijs = 10; score = 10 × (Pmin/Po), lineair genormaliseerd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Transparante prijsstelling, open-book kostenopbouw, voorspelbare indexatie, lage factuurafwijkingen; TCO-optimalisatie door waste-reductie en logistieke efficiëntie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Prijsblad met eenheidsprijzen per component en menubundels; geen onvoorziene toeslagen. - Indexatie: CBS CPI Voeding (2020=100) minus efficiencykorting 0,5%-punt per jaar door waste- en CO2-reductie. - Factuurafwijkingen ≤0,5% per maand; credittermijn &lt;5 werkdagen. - 12 maanden prijsvaste periode na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Factuurafwijkingen ≤0,5% - Indexatie conform afspraak (0 afwijkingen) - Prijsvaste periode 12 maanden (100% gehaald) - TCO-daling door waste: -1% kosten/jaar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Grondstofprijsvolatiliteit; scope creep; volumefluctuaties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Open-book kostensheets - Indexatieclausule en rekenblad - Voorbeeldfacturen en UBL-export - Contractafspraken prijsvaste periode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W-10, W-03, W-07, W-06</w:t>
            </w:r>
          </w:p>
        </w:tc>
      </w:tr>
    </w:tbl>
    <w:p>
      <w:pPr>
        <w:spacing w:lineRule="auto"/>
      </w:pPr>
      <w:r>
        <w:rPr/>
      </w:r>
    </w:p>
    <w:p>
      <w:pPr>
        <w:spacing w:lineRule="auto"/>
      </w:pPr>
      <w:r>
        <w:rPr/>
        <w:t xml:space="preserve">Scoringsmethodiek en schaal</w:t>
      </w:r>
    </w:p>
    <w:p>
      <w:pPr>
        <w:numPr>
          <w:ilvl w:val="0"/>
          <w:numId w:val="2"/>
        </w:numPr>
        <w:spacing w:lineRule="auto"/>
      </w:pPr>
      <w:r>
        <w:rPr/>
        <w:t xml:space="preserve">Kwalitatieve criteria (Kwaliteit, Duurzaamheid, Risicobeheersing) worden beoordeeld op een 0–10 schaal, met referentie aan “Wat goed eruitziet” en de mate waarin onze invulling SMART is en aantoonbaar wordt gemaakt via bewijs. Score 6 betekent: voldoet aan eisen en SLA’s; 8: duidelijke meerwaarde met meetbare plus; 10: best practice met significante plus (≥10% boven SLA/ must en aantoonbare PDCA-borging).</w:t>
      </w:r>
    </w:p>
    <w:p>
      <w:pPr>
        <w:numPr>
          <w:ilvl w:val="0"/>
          <w:numId w:val="2"/>
        </w:numPr>
        <w:spacing w:lineRule="auto"/>
      </w:pPr>
      <w:r>
        <w:rPr/>
        <w:t xml:space="preserve">Prijs: laagste inschrijfprijs krijgt 10 punten; overige inschrijvers krijgen Score = 10 × (Pmin/Po). Afronding op 2 decimalen. EMVI-eindscore = som(criteriumscore × weging).</w:t>
      </w:r>
    </w:p>
    <w:p>
      <w:pPr>
        <w:spacing w:lineRule="auto"/>
      </w:pPr>
      <w:r>
        <w:rPr/>
        <w:t xml:space="preserve">PDCA-borging per criterium</w:t>
      </w:r>
    </w:p>
    <w:p>
      <w:pPr>
        <w:numPr>
          <w:ilvl w:val="0"/>
          <w:numId w:val="3"/>
        </w:numPr>
        <w:spacing w:lineRule="auto"/>
      </w:pPr>
      <w:r>
        <w:rPr/>
        <w:t xml:space="preserve">Plan: per W-xx is een doel en meetplan vastgelegd. Voorbeeld: W-02 Allergenenzorg Plan: 100% labeling, 0 fouten; training en verificatiestappen in receptuurbeheer.</w:t>
      </w:r>
    </w:p>
    <w:p>
      <w:pPr>
        <w:numPr>
          <w:ilvl w:val="0"/>
          <w:numId w:val="3"/>
        </w:numPr>
        <w:spacing w:lineRule="auto"/>
      </w:pPr>
      <w:r>
        <w:rPr/>
        <w:t xml:space="preserve">Do: uitvoering via standaardprocedures (HACCP-plannen, werk- en route-instructies, leverancierscontracten met herkomst- en bioclausules).</w:t>
      </w:r>
    </w:p>
    <w:p>
      <w:pPr>
        <w:numPr>
          <w:ilvl w:val="0"/>
          <w:numId w:val="3"/>
        </w:numPr>
        <w:spacing w:lineRule="auto"/>
      </w:pPr>
      <w:r>
        <w:rPr/>
        <w:t xml:space="preserve">Check: maandelijkse KPI-review (W-10) met dashboards uit W-07. Steekproeven: allergenentests (W-02), temperatuur- en tracechecks (W-04), verpakkingsretourpercentages (W-06), leverbetrouwbaarheid per locatie/venster (W-05).</w:t>
      </w:r>
    </w:p>
    <w:p>
      <w:pPr>
        <w:numPr>
          <w:ilvl w:val="0"/>
          <w:numId w:val="3"/>
        </w:numPr>
        <w:spacing w:lineRule="auto"/>
      </w:pPr>
      <w:r>
        <w:rPr/>
        <w:t xml:space="preserve">Act: corrigerende en preventieve maatregelen binnen 5 werkdagen na afwijking &gt; drempel. Voorbeelden: extra training, herplanning routes, leveranciers-eskalatie, receptuurwijziging, softwarepatch. Jaarlijkse herijking doelen (Q4) op basis van trendanalyse.</w:t>
      </w:r>
    </w:p>
    <w:p>
      <w:pPr>
        <w:spacing w:lineRule="auto"/>
      </w:pPr>
      <w:r>
        <w:rPr/>
        <w:t xml:space="preserve">Kruisverbanden W-xx ↔ KPI ↔ Risico ↔ Bewijs (voorbeelden, aanvullend op tabel)</w:t>
      </w:r>
    </w:p>
    <w:p>
      <w:pPr>
        <w:numPr>
          <w:ilvl w:val="0"/>
          <w:numId w:val="4"/>
        </w:numPr>
        <w:spacing w:lineRule="auto"/>
      </w:pPr>
      <w:r>
        <w:rPr/>
        <w:t xml:space="preserve">W-02 ↔ Allergenen-fouten = 0 ↔ Risico: cross-contact ↔ Bewijs: labeling-logs, audits, trainingsoverzichten.</w:t>
      </w:r>
    </w:p>
    <w:p>
      <w:pPr>
        <w:numPr>
          <w:ilvl w:val="0"/>
          <w:numId w:val="4"/>
        </w:numPr>
        <w:spacing w:lineRule="auto"/>
      </w:pPr>
      <w:r>
        <w:rPr/>
        <w:t xml:space="preserve">W-05 ↔ Op tijd geleverd ≥99,2% ↔ Risico: voertuigdowntime/vensterconflicten ↔ Bewijs: telematica-/ritrapporten, onderhoudslogs.</w:t>
      </w:r>
    </w:p>
    <w:p>
      <w:pPr>
        <w:numPr>
          <w:ilvl w:val="0"/>
          <w:numId w:val="4"/>
        </w:numPr>
        <w:spacing w:lineRule="auto"/>
      </w:pPr>
      <w:r>
        <w:rPr/>
        <w:t xml:space="preserve">W-03 ↔ % lokaal ≥40% en % bio ≥30% ↔ Risico: leveranciersuitval ↔ Bewijs: SKAL-verklaringen, herkomstlijsten, dual-sourcing contracten.</w:t>
      </w:r>
    </w:p>
    <w:p>
      <w:pPr>
        <w:numPr>
          <w:ilvl w:val="0"/>
          <w:numId w:val="4"/>
        </w:numPr>
        <w:spacing w:lineRule="auto"/>
      </w:pPr>
      <w:r>
        <w:rPr/>
        <w:t xml:space="preserve">W-06 ↔ Herbruikbaar ≥98% ↔ Risico: retourketen falen/hygiëne ↔ Bewijs: SOP’s, schoonmaakregistraties, retourscanlogs.</w:t>
      </w:r>
    </w:p>
    <w:p>
      <w:pPr>
        <w:numPr>
          <w:ilvl w:val="0"/>
          <w:numId w:val="4"/>
        </w:numPr>
        <w:spacing w:lineRule="auto"/>
      </w:pPr>
      <w:r>
        <w:rPr/>
        <w:t xml:space="preserve">W-07 ↔ Profieladoptie ≥95% ↔ Risico: IT-storing/gebruikersadoptie ↔ Bewijs: systeemrapportages, UAT-scripts, supporttickets.</w:t>
      </w:r>
    </w:p>
    <w:p>
      <w:pPr>
        <w:numPr>
          <w:ilvl w:val="0"/>
          <w:numId w:val="4"/>
        </w:numPr>
        <w:spacing w:lineRule="auto"/>
      </w:pPr>
      <w:r>
        <w:rPr/>
        <w:t xml:space="preserve">W-09 ↔ MTTR ≤2 uur ↔ Risico: IT/keuken/logistiek incident ↔ Bewijs: BCP, drillrapporten, incidentpost-mortems.</w:t>
      </w:r>
    </w:p>
    <w:p>
      <w:pPr>
        <w:spacing w:lineRule="auto"/>
      </w:pPr>
      <w:r>
        <w:rPr/>
        <w:t xml:space="preserve">Relatie met KO’s en must-haves</w:t>
      </w:r>
    </w:p>
    <w:p>
      <w:pPr>
        <w:numPr>
          <w:ilvl w:val="0"/>
          <w:numId w:val="5"/>
        </w:numPr>
        <w:spacing w:lineRule="auto"/>
      </w:pPr>
      <w:r>
        <w:rPr/>
        <w:t xml:space="preserve">KO: HACCP/ISO 22000 aantoonbaar (W-04). Bewijs: actuele certificaten en laatste auditrapport; borging via interne audits (2x/jaar).</w:t>
      </w:r>
    </w:p>
    <w:p>
      <w:pPr>
        <w:numPr>
          <w:ilvl w:val="0"/>
          <w:numId w:val="5"/>
        </w:numPr>
        <w:spacing w:lineRule="auto"/>
      </w:pPr>
      <w:r>
        <w:rPr/>
        <w:t xml:space="preserve">KO: Levercapaciteit ≥500 couverts/dag (W-04, W-05). Bewijs: capaciteitsplanning, personeelsroosters, materieellijst en reservecapaciteit.</w:t>
      </w:r>
    </w:p>
    <w:p>
      <w:pPr>
        <w:numPr>
          <w:ilvl w:val="0"/>
          <w:numId w:val="5"/>
        </w:numPr>
        <w:spacing w:lineRule="auto"/>
      </w:pPr>
      <w:r>
        <w:rPr/>
        <w:t xml:space="preserve">Must: Allergenenregistratie en dieetprofielen (W-02, W-07). KPI: 0 fouten; ≥95% profieladoptie; bewijs: systeem- en labelrapportages.</w:t>
      </w:r>
    </w:p>
    <w:p>
      <w:pPr>
        <w:numPr>
          <w:ilvl w:val="0"/>
          <w:numId w:val="5"/>
        </w:numPr>
        <w:spacing w:lineRule="auto"/>
      </w:pPr>
      <w:r>
        <w:rPr/>
        <w:t xml:space="preserve">Must: Minimaal 25% biologisch en 30% lokaal/regionaal (W-03). KPI: ≥30% bio; ≥40% lokaal/regio; bewijs: leveranciersverklaringen, inkoopdata.</w:t>
      </w:r>
    </w:p>
    <w:p>
      <w:pPr>
        <w:numPr>
          <w:ilvl w:val="0"/>
          <w:numId w:val="5"/>
        </w:numPr>
        <w:spacing w:lineRule="auto"/>
      </w:pPr>
      <w:r>
        <w:rPr/>
        <w:t xml:space="preserve">Must: Foodwaste &lt;3% en zero-waste verpakkingen (W-06). KPI: waste ≤2%; herbruikbaar ≥98%; bewijs: weegdata, SOP’s, retourlogs.</w:t>
      </w:r>
    </w:p>
    <w:p>
      <w:pPr>
        <w:spacing w:lineRule="auto"/>
      </w:pPr>
      <w:r>
        <w:rPr/>
        <w:t xml:space="preserve">Rapportage- en auditfrequentie</w:t>
      </w:r>
    </w:p>
    <w:p>
      <w:pPr>
        <w:numPr>
          <w:ilvl w:val="0"/>
          <w:numId w:val="6"/>
        </w:numPr>
        <w:spacing w:lineRule="auto"/>
      </w:pPr>
      <w:r>
        <w:rPr/>
        <w:t xml:space="preserve">Maandelijks: KPI-rapport (W-10) met: op tijd geleverd, klanttevredenheid, allergenen, foodwaste, verpakkingsretour, % bio/lokaal, incidenten/MTTR, factuurafwijkingen.</w:t>
      </w:r>
    </w:p>
    <w:p>
      <w:pPr>
        <w:numPr>
          <w:ilvl w:val="0"/>
          <w:numId w:val="6"/>
        </w:numPr>
        <w:spacing w:lineRule="auto"/>
      </w:pPr>
      <w:r>
        <w:rPr/>
        <w:t xml:space="preserve">Kwartaal: review met Gemeente Amsterdam; PDCA-actieplan bij afwijkingen &gt; drempel.</w:t>
      </w:r>
    </w:p>
    <w:p>
      <w:pPr>
        <w:numPr>
          <w:ilvl w:val="0"/>
          <w:numId w:val="6"/>
        </w:numPr>
        <w:spacing w:lineRule="auto"/>
      </w:pPr>
      <w:r>
        <w:rPr/>
        <w:t xml:space="preserve">Halfjaarlijks: BCP/recall drills (W-09) en duurzaamheidsoverzicht incl. CO2e-progressie (W-06/W-03).</w:t>
      </w:r>
    </w:p>
    <w:p>
      <w:pPr>
        <w:numPr>
          <w:ilvl w:val="0"/>
          <w:numId w:val="6"/>
        </w:numPr>
        <w:spacing w:lineRule="auto"/>
      </w:pPr>
      <w:r>
        <w:rPr/>
        <w:t xml:space="preserve">Jaarlijks: strategische evaluatie, herijking doelwaarden en indexatiecontrole (W-10).</w:t>
      </w:r>
    </w:p>
    <w:p>
      <w:pPr>
        <w:spacing w:lineRule="auto"/>
      </w:pPr>
      <w:r>
        <w:rPr/>
        <w:t xml:space="preserve">Onze meerwaarde samengevat per criterium</w:t>
      </w:r>
    </w:p>
    <w:p>
      <w:pPr>
        <w:numPr>
          <w:ilvl w:val="0"/>
          <w:numId w:val="7"/>
        </w:numPr>
        <w:spacing w:lineRule="auto"/>
      </w:pPr>
      <w:r>
        <w:rPr/>
        <w:t xml:space="preserve">Kwaliteit: hogere leverbetrouwbaarheid (≥99,2%), nul allergenenfouten met digitale blokkades en strakke 8-weekse rotatie voor variatie.</w:t>
      </w:r>
    </w:p>
    <w:p>
      <w:pPr>
        <w:numPr>
          <w:ilvl w:val="0"/>
          <w:numId w:val="7"/>
        </w:numPr>
        <w:spacing w:lineRule="auto"/>
      </w:pPr>
      <w:r>
        <w:rPr/>
        <w:t xml:space="preserve">Duurzaamheid: structureel boven eis (≥30% bio/≥40% lokaal), waste ≤2% met dagelijkse weigh-back, 98% herbruikbaar, CO2e -25% in 2028.</w:t>
      </w:r>
    </w:p>
    <w:p>
      <w:pPr>
        <w:numPr>
          <w:ilvl w:val="0"/>
          <w:numId w:val="7"/>
        </w:numPr>
        <w:spacing w:lineRule="auto"/>
      </w:pPr>
      <w:r>
        <w:rPr/>
        <w:t xml:space="preserve">Risicobeheersing: volledig getest BCP, dual sourcing en data-gedreven triggers; MTTR ≤2 uur (P95).</w:t>
      </w:r>
    </w:p>
    <w:p>
      <w:pPr>
        <w:numPr>
          <w:ilvl w:val="0"/>
          <w:numId w:val="7"/>
        </w:numPr>
        <w:spacing w:lineRule="auto"/>
      </w:pPr>
      <w:r>
        <w:rPr/>
        <w:t xml:space="preserve">Prijs: open-book, voorspelbare indexatie en TCO-daling via waste- en logistieke efficiëntie; foutloze facturatie (≤0,5% afwijking).</w:t>
      </w:r>
    </w:p>
    <w:p>
      <w:pPr>
        <w:spacing w:lineRule="auto"/>
      </w:pPr>
      <w:r>
        <w:rPr/>
        <w:t xml:space="preserve">Eindbeoordeling en gunningsbesluit De EMVI-score wordt berekend als gewogen som van de vier criteriumscores. Kwalitatieve scores worden onderbouwd met de aangeleverde bewijzen en KPI-toezeggingen en getoetst op PDCA-volwassenheid. Prijs wordt genormaliseerd zoals hierboven. De combinatie van aantoonbare prestatieniveaus boven SLA’s en transparante prijszetting levert de BPKV.</w:t>
      </w:r>
    </w:p>
    <w:p>
      <w:pPr>
        <w:spacing w:lineRule="auto"/>
      </w:pPr>
      <w:r>
        <w:rPr/>
        <w:t xml:space="preserve">Benodigde input:</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header1.xml><?xml version="1.0" encoding="utf-8"?>
<hdr xmlns="http://schemas.openxmlformats.org/wordprocessingml/2006/main">
  <p>
    <pPr>
      <spacing xmlns:ns1="http://schemas.openxmlformats.org/wordprocessingml/2006/main" ns1:lineRule="auto"/>
    </pPr>
    <r>
      <rPr/>
    </r>
  </p>
</hd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eader" Target="header1.xml" TargetMode="Internal"/>
  <Relationship Id="rId7" Type="http://schemas.openxmlformats.org/officeDocument/2006/relationships/footer" Target="footer1.xml" TargetMode="Internal"/>
  <Relationship Id="rId8"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Beoordelingsmethodiek (EMVI/BPKV)</dc:title>
  <dc:subject/>
  <dc:creator>html-to-docx</dc:creator>
  <cp:keywords>html-to-docx</cp:keywords>
  <dc:description/>
  <cp:lastModifiedBy>html-to-docx</cp:lastModifiedBy>
  <cp:revision>1</cp:revision>
  <dcterms:created xsi:type="dcterms:W3CDTF">2025-11-04T09:23:04.643Z</dcterms:created>
  <dcterms:modified xsi:type="dcterms:W3CDTF">2025-11-04T09:23:04.643Z</dcterms:modified>
</cp:coreProperties>
</file>