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Bewijsstukkenbundel</w:t>
      </w:r>
    </w:p>
    <w:p>
      <w:pPr>
        <w:pStyle w:val="Heading2"/>
        <w:spacing w:lineRule="auto"/>
      </w:pPr>
      <w:r>
        <w:rPr/>
        <w:t xml:space="preserve">Caternext B.V. — Raamovereenkomst Duurzame Catering en Bedrijfslunch 2026–2030</w:t>
      </w:r>
    </w:p>
    <w:p>
      <w:pPr>
        <w:spacing w:lineRule="auto"/>
      </w:pPr>
      <w:r>
        <w:rPr/>
        <w:t xml:space="preserve">     04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Bewijsstukken — Raamovereenkomst Duurzame Catering en Bedrijfslunch 2026–2030 Referentie: GEM-AMS-CATER-2026-014 Aanbestedende dienst: Gemeente Amsterdam (NL) Inschrijver: Caternext B.V. (KvK 81234567, BTW NL812345678B01) Scope: Dagelijkse bedrijfslunch ≥500 couverts/dag, 11:00–13:30, incl. vegetarisch/vegan/glutenvrij; min. 30% lokaal/regionaal en 25% biologisch; EU 1169/2011; digitaal bestelsysteem met dieetprofielen; zero-waste; foodwaste &lt;3%. EMVI-criteria: Kwaliteit 40% | Duurzaamheid 20% | Risicobeheersing 20% | Prijs 20%</w:t>
      </w:r>
    </w:p>
    <w:p>
      <w:pPr>
        <w:numPr>
          <w:ilvl w:val="0"/>
          <w:numId w:val="1"/>
        </w:numPr>
        <w:spacing w:lineRule="auto"/>
      </w:pPr>
      <w:r>
        <w:rPr/>
        <w:t xml:space="preserve">PDCA-kader voor bewijsvoering en prestatiesturing</w:t>
      </w:r>
    </w:p>
    <w:p>
      <w:pPr>
        <w:numPr>
          <w:ilvl w:val="0"/>
          <w:numId w:val="2"/>
        </w:numPr>
        <w:spacing w:lineRule="auto"/>
      </w:pPr>
      <w:r>
        <w:rPr/>
        <w:t xml:space="preserve">Plan</w:t>
      </w:r>
    </w:p>
    <w:p>
      <w:pPr>
        <w:numPr>
          <w:ilvl w:val="1"/>
          <w:numId w:val="3"/>
        </w:numPr>
        <w:spacing w:lineRule="auto"/>
      </w:pPr>
      <w:r>
        <w:rPr/>
        <w:t xml:space="preserve">Werkstromen (W-xx): W-01 Voedselveiligheid; W-02 Capaciteit &amp; Logistiek; W-03 Allergenen &amp; Dieetprofielen; W-04 Duurzame Inkoop (bio/lokaal); W-05 Zero-waste &amp; Foodwaste; W-06 Digitale systemen &amp; AVG; W-07 SLA &amp; KTO; W-08 Risicobeheersing &amp; BCM; W-09 Seizoensmenu &amp; Kwaliteit; W-10 Contract &amp; Governance.</w:t>
      </w:r>
    </w:p>
    <w:p>
      <w:pPr>
        <w:numPr>
          <w:ilvl w:val="1"/>
          <w:numId w:val="3"/>
        </w:numPr>
        <w:spacing w:lineRule="auto"/>
      </w:pPr>
      <w:r>
        <w:rPr/>
        <w:t xml:space="preserve">KPI’s (targets per SLA/REQ):</w:t>
      </w:r>
    </w:p>
    <w:p>
      <w:pPr>
        <w:numPr>
          <w:ilvl w:val="2"/>
          <w:numId w:val="4"/>
        </w:numPr>
        <w:spacing w:lineRule="auto"/>
      </w:pPr>
      <w:r>
        <w:rPr/>
        <w:t xml:space="preserve">Op tijd geleverd ≥98% per maand; geen dag &lt;95%.</w:t>
      </w:r>
    </w:p>
    <w:p>
      <w:pPr>
        <w:numPr>
          <w:ilvl w:val="2"/>
          <w:numId w:val="4"/>
        </w:numPr>
        <w:spacing w:lineRule="auto"/>
      </w:pPr>
      <w:r>
        <w:rPr/>
        <w:t xml:space="preserve">Klanttevredenheid (gemiddelde 1–10) ≥8,2 per kwartaal.</w:t>
      </w:r>
    </w:p>
    <w:p>
      <w:pPr>
        <w:numPr>
          <w:ilvl w:val="2"/>
          <w:numId w:val="4"/>
        </w:numPr>
        <w:spacing w:lineRule="auto"/>
      </w:pPr>
      <w:r>
        <w:rPr/>
        <w:t xml:space="preserve">Allergenen-fouten = 0; incidentenregistratie 100%.</w:t>
      </w:r>
    </w:p>
    <w:p>
      <w:pPr>
        <w:numPr>
          <w:ilvl w:val="2"/>
          <w:numId w:val="4"/>
        </w:numPr>
        <w:spacing w:lineRule="auto"/>
      </w:pPr>
      <w:r>
        <w:rPr/>
        <w:t xml:space="preserve">Foodwaste &lt;3% per locatie per maand.</w:t>
      </w:r>
    </w:p>
    <w:p>
      <w:pPr>
        <w:numPr>
          <w:ilvl w:val="2"/>
          <w:numId w:val="4"/>
        </w:numPr>
        <w:spacing w:lineRule="auto"/>
      </w:pPr>
      <w:r>
        <w:rPr/>
        <w:t xml:space="preserve">Biologisch ≥25% (op inkoopwaarde, per kwartaal).</w:t>
      </w:r>
    </w:p>
    <w:p>
      <w:pPr>
        <w:numPr>
          <w:ilvl w:val="2"/>
          <w:numId w:val="4"/>
        </w:numPr>
        <w:spacing w:lineRule="auto"/>
      </w:pPr>
      <w:r>
        <w:rPr/>
        <w:t xml:space="preserve">Lokaal/regionaal ≥30% (op inkoopwaarde, per kwartaal; definitie: producent of eerste verwerker binnen 150 km van Amsterdam).</w:t>
      </w:r>
    </w:p>
    <w:p>
      <w:pPr>
        <w:numPr>
          <w:ilvl w:val="2"/>
          <w:numId w:val="4"/>
        </w:numPr>
        <w:spacing w:lineRule="auto"/>
      </w:pPr>
      <w:r>
        <w:rPr/>
        <w:t xml:space="preserve">Zero-waste verpakking: 100% herbruikbaar voor alle interne stromen; uitzonderingen gemotiveerd 0%.</w:t>
      </w:r>
    </w:p>
    <w:p>
      <w:pPr>
        <w:numPr>
          <w:ilvl w:val="0"/>
          <w:numId w:val="2"/>
        </w:numPr>
        <w:spacing w:lineRule="auto"/>
      </w:pPr>
      <w:r>
        <w:rPr/>
        <w:t xml:space="preserve">Do</w:t>
      </w:r>
    </w:p>
    <w:p>
      <w:pPr>
        <w:numPr>
          <w:ilvl w:val="1"/>
          <w:numId w:val="5"/>
        </w:numPr>
        <w:spacing w:lineRule="auto"/>
      </w:pPr>
      <w:r>
        <w:rPr/>
        <w:t xml:space="preserve">Uitrol HACCP/ISO 22000, geverifieerde allergenen-SOP’s, training keukenteam en bezorging (min. 2 uur/medewerker/kwartaal).</w:t>
      </w:r>
    </w:p>
    <w:p>
      <w:pPr>
        <w:numPr>
          <w:ilvl w:val="1"/>
          <w:numId w:val="5"/>
        </w:numPr>
        <w:spacing w:lineRule="auto"/>
      </w:pPr>
      <w:r>
        <w:rPr/>
        <w:t xml:space="preserve">Digitale bestelsysteem met dieetprofielen en AVG-borging, processorovereenkomst en DPIA.</w:t>
      </w:r>
    </w:p>
    <w:p>
      <w:pPr>
        <w:numPr>
          <w:ilvl w:val="1"/>
          <w:numId w:val="5"/>
        </w:numPr>
        <w:spacing w:lineRule="auto"/>
      </w:pPr>
      <w:r>
        <w:rPr/>
        <w:t xml:space="preserve">Inkoopcontracten met SKAL/EKO/biokeurmerken en regionale coöperaties (Fresh&amp;Local Coöp).</w:t>
      </w:r>
    </w:p>
    <w:p>
      <w:pPr>
        <w:numPr>
          <w:ilvl w:val="1"/>
          <w:numId w:val="5"/>
        </w:numPr>
        <w:spacing w:lineRule="auto"/>
      </w:pPr>
      <w:r>
        <w:rPr/>
        <w:t xml:space="preserve">Logistieke vensterritten 11:00–13:30, routeoptimalisatie met tijd- en temperatuurtracking.</w:t>
      </w:r>
    </w:p>
    <w:p>
      <w:pPr>
        <w:numPr>
          <w:ilvl w:val="1"/>
          <w:numId w:val="5"/>
        </w:numPr>
        <w:spacing w:lineRule="auto"/>
      </w:pPr>
      <w:r>
        <w:rPr/>
        <w:t xml:space="preserve">Herbruikbare verpakkingspool met closed-loop retour en schoonmaakprotocol.</w:t>
      </w:r>
    </w:p>
    <w:p>
      <w:pPr>
        <w:numPr>
          <w:ilvl w:val="0"/>
          <w:numId w:val="2"/>
        </w:numPr>
        <w:spacing w:lineRule="auto"/>
      </w:pPr>
      <w:r>
        <w:rPr/>
        <w:t xml:space="preserve">Check</w:t>
      </w:r>
    </w:p>
    <w:p>
      <w:pPr>
        <w:numPr>
          <w:ilvl w:val="1"/>
          <w:numId w:val="6"/>
        </w:numPr>
        <w:spacing w:lineRule="auto"/>
      </w:pPr>
      <w:r>
        <w:rPr/>
        <w:t xml:space="preserve">Maandelijkse KPI-rapportage; wekelijks on-time review; kwartaal-audit op bio/lokaal; maandelijks foodwaste audit; realtime allergenen-incidentmeldingen.</w:t>
      </w:r>
    </w:p>
    <w:p>
      <w:pPr>
        <w:numPr>
          <w:ilvl w:val="1"/>
          <w:numId w:val="6"/>
        </w:numPr>
        <w:spacing w:lineRule="auto"/>
      </w:pPr>
      <w:r>
        <w:rPr/>
        <w:t xml:space="preserve">Interne audits: ISO 22000, HACCP verificatie; leveranciersaudits (bio/lokaal) 2x per jaar.</w:t>
      </w:r>
    </w:p>
    <w:p>
      <w:pPr>
        <w:numPr>
          <w:ilvl w:val="0"/>
          <w:numId w:val="2"/>
        </w:numPr>
        <w:spacing w:lineRule="auto"/>
      </w:pPr>
      <w:r>
        <w:rPr/>
        <w:t xml:space="preserve">Act</w:t>
      </w:r>
    </w:p>
    <w:p>
      <w:pPr>
        <w:numPr>
          <w:ilvl w:val="1"/>
          <w:numId w:val="7"/>
        </w:numPr>
        <w:spacing w:lineRule="auto"/>
      </w:pPr>
      <w:r>
        <w:rPr/>
        <w:t xml:space="preserve">CAPA-proces: binnen 1 werkdag containment; binnen 5 werkdagen root cause; binnen 10 werkdagen implementatie maatregel; effectcontrole in eerstvolgende KPI-cyclus.</w:t>
      </w:r>
    </w:p>
    <w:p>
      <w:pPr>
        <w:numPr>
          <w:ilvl w:val="1"/>
          <w:numId w:val="7"/>
        </w:numPr>
        <w:spacing w:lineRule="auto"/>
      </w:pPr>
      <w:r>
        <w:rPr/>
        <w:t xml:space="preserve">Escalatie: allergenen-incidenten direct; SLA-onderprestatie &gt;1 maand: verbeterplan en extra audit.</w:t>
      </w:r>
    </w:p>
    <w:p>
      <w:pPr>
        <w:numPr>
          <w:ilvl w:val="0"/>
          <w:numId w:val="8"/>
        </w:numPr>
        <w:spacing w:lineRule="auto"/>
      </w:pPr>
      <w:r>
        <w:rPr/>
        <w:t xml:space="preserve">Bijlagen (beschrijving en inhoudsopgave) 2.A Certificaat ISO 22000 en toepassingsgebied</w:t>
      </w:r>
    </w:p>
    <w:p>
      <w:pPr>
        <w:numPr>
          <w:ilvl w:val="0"/>
          <w:numId w:val="9"/>
        </w:numPr>
        <w:spacing w:lineRule="auto"/>
      </w:pPr>
      <w:r>
        <w:rPr/>
        <w:t xml:space="preserve">Relatie: KO, W-01 Voedselveiligheid</w:t>
      </w:r>
    </w:p>
    <w:p>
      <w:pPr>
        <w:numPr>
          <w:ilvl w:val="0"/>
          <w:numId w:val="9"/>
        </w:numPr>
        <w:spacing w:lineRule="auto"/>
      </w:pPr>
      <w:r>
        <w:rPr/>
        <w:t xml:space="preserve">Inhoud: kopie geldig certificaat, scope bedrijfskeukens en distributie; laatste auditrapport samenvatting; RvA-accreditatiebewijs.</w:t>
      </w:r>
    </w:p>
    <w:p>
      <w:pPr>
        <w:numPr>
          <w:ilvl w:val="0"/>
          <w:numId w:val="9"/>
        </w:numPr>
        <w:spacing w:lineRule="auto"/>
      </w:pPr>
      <w:r>
        <w:rPr/>
        <w:t xml:space="preserve">KPI: Allergenen-fouten = 0; voedselveiligheidsafwijkingen = 0 majeure.</w:t>
      </w:r>
    </w:p>
    <w:p>
      <w:pPr>
        <w:numPr>
          <w:ilvl w:val="0"/>
          <w:numId w:val="9"/>
        </w:numPr>
        <w:spacing w:lineRule="auto"/>
      </w:pPr>
      <w:r>
        <w:rPr/>
        <w:t xml:space="preserve">Risico: R1 Onvoldoende borging voedselveiligheid.</w:t>
      </w:r>
    </w:p>
    <w:p>
      <w:pPr>
        <w:numPr>
          <w:ilvl w:val="0"/>
          <w:numId w:val="9"/>
        </w:numPr>
        <w:spacing w:lineRule="auto"/>
      </w:pPr>
      <w:r>
        <w:rPr/>
        <w:t xml:space="preserve">Bewijs: certificaat + auditrapport.</w:t>
      </w:r>
    </w:p>
    <w:p>
      <w:pPr>
        <w:spacing w:lineRule="auto"/>
      </w:pPr>
      <w:r>
        <w:rPr/>
        <w:t xml:space="preserve">2.B HACCP-plan en verificatielogboeken</w:t>
      </w:r>
    </w:p>
    <w:p>
      <w:pPr>
        <w:numPr>
          <w:ilvl w:val="0"/>
          <w:numId w:val="10"/>
        </w:numPr>
        <w:spacing w:lineRule="auto"/>
      </w:pPr>
      <w:r>
        <w:rPr/>
        <w:t xml:space="preserve">Relatie: KO, W-01</w:t>
      </w:r>
    </w:p>
    <w:p>
      <w:pPr>
        <w:numPr>
          <w:ilvl w:val="0"/>
          <w:numId w:val="10"/>
        </w:numPr>
        <w:spacing w:lineRule="auto"/>
      </w:pPr>
      <w:r>
        <w:rPr/>
        <w:t xml:space="preserve">Inhoud: gevarenanalyse, CCP’s, validatie, temperatuurregistraties 12 maanden, kalibratiecertificaten meetmiddelen.</w:t>
      </w:r>
    </w:p>
    <w:p>
      <w:pPr>
        <w:numPr>
          <w:ilvl w:val="0"/>
          <w:numId w:val="10"/>
        </w:numPr>
        <w:spacing w:lineRule="auto"/>
      </w:pPr>
      <w:r>
        <w:rPr/>
        <w:t xml:space="preserve">KPI: 100% registratiecompleet.</w:t>
      </w:r>
    </w:p>
    <w:p>
      <w:pPr>
        <w:numPr>
          <w:ilvl w:val="0"/>
          <w:numId w:val="10"/>
        </w:numPr>
        <w:spacing w:lineRule="auto"/>
      </w:pPr>
      <w:r>
        <w:rPr/>
        <w:t xml:space="preserve">Risico: R2 CCP-falen.</w:t>
      </w:r>
    </w:p>
    <w:p>
      <w:pPr>
        <w:numPr>
          <w:ilvl w:val="0"/>
          <w:numId w:val="10"/>
        </w:numPr>
        <w:spacing w:lineRule="auto"/>
      </w:pPr>
      <w:r>
        <w:rPr/>
        <w:t xml:space="preserve">Bewijs: HACCP-handboek + logboeken.</w:t>
      </w:r>
    </w:p>
    <w:p>
      <w:pPr>
        <w:spacing w:lineRule="auto"/>
      </w:pPr>
      <w:r>
        <w:rPr/>
        <w:t xml:space="preserve">2.C Capaciteitsverklaring ≥500 couverts/dag en logistiek bewijs</w:t>
      </w:r>
    </w:p>
    <w:p>
      <w:pPr>
        <w:numPr>
          <w:ilvl w:val="0"/>
          <w:numId w:val="11"/>
        </w:numPr>
        <w:spacing w:lineRule="auto"/>
      </w:pPr>
      <w:r>
        <w:rPr/>
        <w:t xml:space="preserve">Relatie: KO, W-02</w:t>
      </w:r>
    </w:p>
    <w:p>
      <w:pPr>
        <w:numPr>
          <w:ilvl w:val="0"/>
          <w:numId w:val="11"/>
        </w:numPr>
        <w:spacing w:lineRule="auto"/>
      </w:pPr>
      <w:r>
        <w:rPr/>
        <w:t xml:space="preserve">Inhoud: productielijncapaciteit, ploegplanning, beschikbaar wagenpark (koel/elektra), piekproefresultaat 600 couverts in 120 min.</w:t>
      </w:r>
    </w:p>
    <w:p>
      <w:pPr>
        <w:numPr>
          <w:ilvl w:val="0"/>
          <w:numId w:val="11"/>
        </w:numPr>
        <w:spacing w:lineRule="auto"/>
      </w:pPr>
      <w:r>
        <w:rPr/>
        <w:t xml:space="preserve">KPI: Op tijd ≥98%.</w:t>
      </w:r>
    </w:p>
    <w:p>
      <w:pPr>
        <w:numPr>
          <w:ilvl w:val="0"/>
          <w:numId w:val="11"/>
        </w:numPr>
        <w:spacing w:lineRule="auto"/>
      </w:pPr>
      <w:r>
        <w:rPr/>
        <w:t xml:space="preserve">Risico: R3 Capaciteitstekort.</w:t>
      </w:r>
    </w:p>
    <w:p>
      <w:pPr>
        <w:numPr>
          <w:ilvl w:val="0"/>
          <w:numId w:val="11"/>
        </w:numPr>
        <w:spacing w:lineRule="auto"/>
      </w:pPr>
      <w:r>
        <w:rPr/>
        <w:t xml:space="preserve">Bewijs: verklaring directie, testrapport, routeplannen.</w:t>
      </w:r>
    </w:p>
    <w:p>
      <w:pPr>
        <w:spacing w:lineRule="auto"/>
      </w:pPr>
      <w:r>
        <w:rPr/>
        <w:t xml:space="preserve">2.D Allergenenbeheer en dieetprofielen (EU 1169/2011)</w:t>
      </w:r>
    </w:p>
    <w:p>
      <w:pPr>
        <w:numPr>
          <w:ilvl w:val="0"/>
          <w:numId w:val="12"/>
        </w:numPr>
        <w:spacing w:lineRule="auto"/>
      </w:pPr>
      <w:r>
        <w:rPr/>
        <w:t xml:space="preserve">Relatie: REQ, W-03</w:t>
      </w:r>
    </w:p>
    <w:p>
      <w:pPr>
        <w:numPr>
          <w:ilvl w:val="0"/>
          <w:numId w:val="12"/>
        </w:numPr>
        <w:spacing w:lineRule="auto"/>
      </w:pPr>
      <w:r>
        <w:rPr/>
        <w:t xml:space="preserve">Inhoud: SOP’s kruisbesmetting, receptuurkaart met 14 allergenen, etikettenvoorbeelden, systeem-screenshots dieetprofielen.</w:t>
      </w:r>
    </w:p>
    <w:p>
      <w:pPr>
        <w:numPr>
          <w:ilvl w:val="0"/>
          <w:numId w:val="12"/>
        </w:numPr>
        <w:spacing w:lineRule="auto"/>
      </w:pPr>
      <w:r>
        <w:rPr/>
        <w:t xml:space="preserve">KPI: Allergenen-fouten = 0.</w:t>
      </w:r>
    </w:p>
    <w:p>
      <w:pPr>
        <w:numPr>
          <w:ilvl w:val="0"/>
          <w:numId w:val="12"/>
        </w:numPr>
        <w:spacing w:lineRule="auto"/>
      </w:pPr>
      <w:r>
        <w:rPr/>
        <w:t xml:space="preserve">Risico: R4 Kruiscontact.</w:t>
      </w:r>
    </w:p>
    <w:p>
      <w:pPr>
        <w:numPr>
          <w:ilvl w:val="0"/>
          <w:numId w:val="12"/>
        </w:numPr>
        <w:spacing w:lineRule="auto"/>
      </w:pPr>
      <w:r>
        <w:rPr/>
        <w:t xml:space="preserve">Bewijs: SOP, etiketvoorbeelden, systeemrapport.</w:t>
      </w:r>
    </w:p>
    <w:p>
      <w:pPr>
        <w:spacing w:lineRule="auto"/>
      </w:pPr>
      <w:r>
        <w:rPr/>
        <w:t xml:space="preserve">2.E Biologisch ≥25% — leveranciers- en inkoopbewijzen</w:t>
      </w:r>
    </w:p>
    <w:p>
      <w:pPr>
        <w:numPr>
          <w:ilvl w:val="0"/>
          <w:numId w:val="13"/>
        </w:numPr>
        <w:spacing w:lineRule="auto"/>
      </w:pPr>
      <w:r>
        <w:rPr/>
        <w:t xml:space="preserve">Relatie: REQ, W-04</w:t>
      </w:r>
    </w:p>
    <w:p>
      <w:pPr>
        <w:numPr>
          <w:ilvl w:val="0"/>
          <w:numId w:val="13"/>
        </w:numPr>
        <w:spacing w:lineRule="auto"/>
      </w:pPr>
      <w:r>
        <w:rPr/>
        <w:t xml:space="preserve">Inhoud: contracten SKAL/EKO, kwartaal inkooprapporten met bio-tag, steekproef COA’s.</w:t>
      </w:r>
    </w:p>
    <w:p>
      <w:pPr>
        <w:numPr>
          <w:ilvl w:val="0"/>
          <w:numId w:val="13"/>
        </w:numPr>
        <w:spacing w:lineRule="auto"/>
      </w:pPr>
      <w:r>
        <w:rPr/>
        <w:t xml:space="preserve">KPI: Bio ≥25% (waarde).</w:t>
      </w:r>
    </w:p>
    <w:p>
      <w:pPr>
        <w:numPr>
          <w:ilvl w:val="0"/>
          <w:numId w:val="13"/>
        </w:numPr>
        <w:spacing w:lineRule="auto"/>
      </w:pPr>
      <w:r>
        <w:rPr/>
        <w:t xml:space="preserve">Risico: R5 Bio-schaarste.</w:t>
      </w:r>
    </w:p>
    <w:p>
      <w:pPr>
        <w:numPr>
          <w:ilvl w:val="0"/>
          <w:numId w:val="13"/>
        </w:numPr>
        <w:spacing w:lineRule="auto"/>
      </w:pPr>
      <w:r>
        <w:rPr/>
        <w:t xml:space="preserve">Bewijs: inkooprapporten, certificaten.</w:t>
      </w:r>
    </w:p>
    <w:p>
      <w:pPr>
        <w:spacing w:lineRule="auto"/>
      </w:pPr>
      <w:r>
        <w:rPr/>
        <w:t xml:space="preserve">2.F Lokaal/regionaal ≥30% — producentenlijst en traceerbaarheid</w:t>
      </w:r>
    </w:p>
    <w:p>
      <w:pPr>
        <w:numPr>
          <w:ilvl w:val="0"/>
          <w:numId w:val="14"/>
        </w:numPr>
        <w:spacing w:lineRule="auto"/>
      </w:pPr>
      <w:r>
        <w:rPr/>
        <w:t xml:space="preserve">Relatie: REQ, W-04</w:t>
      </w:r>
    </w:p>
    <w:p>
      <w:pPr>
        <w:numPr>
          <w:ilvl w:val="0"/>
          <w:numId w:val="14"/>
        </w:numPr>
        <w:spacing w:lineRule="auto"/>
      </w:pPr>
      <w:r>
        <w:rPr/>
        <w:t xml:space="preserve">Inhoud: bronlijst met afstandskilometers, factuur- en leverbonkoppeling, definitieselectie 150 km.</w:t>
      </w:r>
    </w:p>
    <w:p>
      <w:pPr>
        <w:numPr>
          <w:ilvl w:val="0"/>
          <w:numId w:val="14"/>
        </w:numPr>
        <w:spacing w:lineRule="auto"/>
      </w:pPr>
      <w:r>
        <w:rPr/>
        <w:t xml:space="preserve">KPI: Lokaal/regionaal ≥30% (waarde).</w:t>
      </w:r>
    </w:p>
    <w:p>
      <w:pPr>
        <w:numPr>
          <w:ilvl w:val="0"/>
          <w:numId w:val="14"/>
        </w:numPr>
        <w:spacing w:lineRule="auto"/>
      </w:pPr>
      <w:r>
        <w:rPr/>
        <w:t xml:space="preserve">Risico: R6 Leveringsonderbreking regio.</w:t>
      </w:r>
    </w:p>
    <w:p>
      <w:pPr>
        <w:numPr>
          <w:ilvl w:val="0"/>
          <w:numId w:val="14"/>
        </w:numPr>
        <w:spacing w:lineRule="auto"/>
      </w:pPr>
      <w:r>
        <w:rPr/>
        <w:t xml:space="preserve">Bewijs: leverancierslijst, tracerapporten.</w:t>
      </w:r>
    </w:p>
    <w:p>
      <w:pPr>
        <w:spacing w:lineRule="auto"/>
      </w:pPr>
      <w:r>
        <w:rPr/>
        <w:t xml:space="preserve">2.G Zero-waste verpakkingsspecificaties en retourlogistiek</w:t>
      </w:r>
    </w:p>
    <w:p>
      <w:pPr>
        <w:numPr>
          <w:ilvl w:val="0"/>
          <w:numId w:val="15"/>
        </w:numPr>
        <w:spacing w:lineRule="auto"/>
      </w:pPr>
      <w:r>
        <w:rPr/>
        <w:t xml:space="preserve">Relatie: REQ, W-05</w:t>
      </w:r>
    </w:p>
    <w:p>
      <w:pPr>
        <w:numPr>
          <w:ilvl w:val="0"/>
          <w:numId w:val="15"/>
        </w:numPr>
        <w:spacing w:lineRule="auto"/>
      </w:pPr>
      <w:r>
        <w:rPr/>
        <w:t xml:space="preserve">Inhoud: herbruikbare GN-bakken, klemdeksels, RFID-tellingen, reinigingsprotocollen en verliesnormen &lt;1%/maand.</w:t>
      </w:r>
    </w:p>
    <w:p>
      <w:pPr>
        <w:numPr>
          <w:ilvl w:val="0"/>
          <w:numId w:val="15"/>
        </w:numPr>
        <w:spacing w:lineRule="auto"/>
      </w:pPr>
      <w:r>
        <w:rPr/>
        <w:t xml:space="preserve">KPI: 100% herbruikbaar; verlies &lt;1%.</w:t>
      </w:r>
    </w:p>
    <w:p>
      <w:pPr>
        <w:numPr>
          <w:ilvl w:val="0"/>
          <w:numId w:val="15"/>
        </w:numPr>
        <w:spacing w:lineRule="auto"/>
      </w:pPr>
      <w:r>
        <w:rPr/>
        <w:t xml:space="preserve">Risico: R7 Verpakkingsverlies.</w:t>
      </w:r>
    </w:p>
    <w:p>
      <w:pPr>
        <w:numPr>
          <w:ilvl w:val="0"/>
          <w:numId w:val="15"/>
        </w:numPr>
        <w:spacing w:lineRule="auto"/>
      </w:pPr>
      <w:r>
        <w:rPr/>
        <w:t xml:space="preserve">Bewijs: specificaties, retourprocesdata.</w:t>
      </w:r>
    </w:p>
    <w:p>
      <w:pPr>
        <w:spacing w:lineRule="auto"/>
      </w:pPr>
      <w:r>
        <w:rPr/>
        <w:t xml:space="preserve">2.H Foodwaste-meetprotocol en dashboard</w:t>
      </w:r>
    </w:p>
    <w:p>
      <w:pPr>
        <w:numPr>
          <w:ilvl w:val="0"/>
          <w:numId w:val="16"/>
        </w:numPr>
        <w:spacing w:lineRule="auto"/>
      </w:pPr>
      <w:r>
        <w:rPr/>
        <w:t xml:space="preserve">Relatie: REQ, W-05</w:t>
      </w:r>
    </w:p>
    <w:p>
      <w:pPr>
        <w:numPr>
          <w:ilvl w:val="0"/>
          <w:numId w:val="16"/>
        </w:numPr>
        <w:spacing w:lineRule="auto"/>
      </w:pPr>
      <w:r>
        <w:rPr/>
        <w:t xml:space="preserve">Inhoud: weegproces voor/na uitgifte, formule edible waste%, per locatie KPI; reductieacties (pre-order tuning).</w:t>
      </w:r>
    </w:p>
    <w:p>
      <w:pPr>
        <w:numPr>
          <w:ilvl w:val="0"/>
          <w:numId w:val="16"/>
        </w:numPr>
        <w:spacing w:lineRule="auto"/>
      </w:pPr>
      <w:r>
        <w:rPr/>
        <w:t xml:space="preserve">KPI: Foodwaste &lt;3%.</w:t>
      </w:r>
    </w:p>
    <w:p>
      <w:pPr>
        <w:numPr>
          <w:ilvl w:val="0"/>
          <w:numId w:val="16"/>
        </w:numPr>
        <w:spacing w:lineRule="auto"/>
      </w:pPr>
      <w:r>
        <w:rPr/>
        <w:t xml:space="preserve">Risico: R8 Overproductie.</w:t>
      </w:r>
    </w:p>
    <w:p>
      <w:pPr>
        <w:numPr>
          <w:ilvl w:val="0"/>
          <w:numId w:val="16"/>
        </w:numPr>
        <w:spacing w:lineRule="auto"/>
      </w:pPr>
      <w:r>
        <w:rPr/>
        <w:t xml:space="preserve">Bewijs: meetprotocol, dashboards.</w:t>
      </w:r>
    </w:p>
    <w:p>
      <w:pPr>
        <w:spacing w:lineRule="auto"/>
      </w:pPr>
      <w:r>
        <w:rPr/>
        <w:t xml:space="preserve">2.I Seizoensmenu’s en rotatiekalender</w:t>
      </w:r>
    </w:p>
    <w:p>
      <w:pPr>
        <w:numPr>
          <w:ilvl w:val="0"/>
          <w:numId w:val="17"/>
        </w:numPr>
        <w:spacing w:lineRule="auto"/>
      </w:pPr>
      <w:r>
        <w:rPr/>
        <w:t xml:space="preserve">Relatie: EMVI Kwaliteit, W-09</w:t>
      </w:r>
    </w:p>
    <w:p>
      <w:pPr>
        <w:numPr>
          <w:ilvl w:val="0"/>
          <w:numId w:val="17"/>
        </w:numPr>
        <w:spacing w:lineRule="auto"/>
      </w:pPr>
      <w:r>
        <w:rPr/>
        <w:t xml:space="preserve">Inhoud: 6-weken cyclus, per seizoen rotatie; vegetarisch/vegan/glutenvrij dekking ≥35% aanbod.</w:t>
      </w:r>
    </w:p>
    <w:p>
      <w:pPr>
        <w:numPr>
          <w:ilvl w:val="0"/>
          <w:numId w:val="17"/>
        </w:numPr>
        <w:spacing w:lineRule="auto"/>
      </w:pPr>
      <w:r>
        <w:rPr/>
        <w:t xml:space="preserve">KPI: Menurotatie per seizoen 100%.</w:t>
      </w:r>
    </w:p>
    <w:p>
      <w:pPr>
        <w:numPr>
          <w:ilvl w:val="0"/>
          <w:numId w:val="17"/>
        </w:numPr>
        <w:spacing w:lineRule="auto"/>
      </w:pPr>
      <w:r>
        <w:rPr/>
        <w:t xml:space="preserve">Risico: R9 Reputatierisico eentonigheid.</w:t>
      </w:r>
    </w:p>
    <w:p>
      <w:pPr>
        <w:numPr>
          <w:ilvl w:val="0"/>
          <w:numId w:val="17"/>
        </w:numPr>
        <w:spacing w:lineRule="auto"/>
      </w:pPr>
      <w:r>
        <w:rPr/>
        <w:t xml:space="preserve">Bewijs: menu’s, cycli.</w:t>
      </w:r>
    </w:p>
    <w:p>
      <w:pPr>
        <w:spacing w:lineRule="auto"/>
      </w:pPr>
      <w:r>
        <w:rPr/>
        <w:t xml:space="preserve">2.J Digitaal bestelsysteem — AVG, DPIA, verwerkersovereenkomst</w:t>
      </w:r>
    </w:p>
    <w:p>
      <w:pPr>
        <w:numPr>
          <w:ilvl w:val="0"/>
          <w:numId w:val="18"/>
        </w:numPr>
        <w:spacing w:lineRule="auto"/>
      </w:pPr>
      <w:r>
        <w:rPr/>
        <w:t xml:space="preserve">Relatie: REQ, W-06</w:t>
      </w:r>
    </w:p>
    <w:p>
      <w:pPr>
        <w:numPr>
          <w:ilvl w:val="0"/>
          <w:numId w:val="18"/>
        </w:numPr>
        <w:spacing w:lineRule="auto"/>
      </w:pPr>
      <w:r>
        <w:rPr/>
        <w:t xml:space="preserve">Inhoud: DPIA, verwerkersovereenkomst, TLS/ISO27001-hostingverklaring, role-based access.</w:t>
      </w:r>
    </w:p>
    <w:p>
      <w:pPr>
        <w:numPr>
          <w:ilvl w:val="0"/>
          <w:numId w:val="18"/>
        </w:numPr>
        <w:spacing w:lineRule="auto"/>
      </w:pPr>
      <w:r>
        <w:rPr/>
        <w:t xml:space="preserve">KPI: 100% datalekken = 0; uptime ≥99,9%.</w:t>
      </w:r>
    </w:p>
    <w:p>
      <w:pPr>
        <w:numPr>
          <w:ilvl w:val="0"/>
          <w:numId w:val="18"/>
        </w:numPr>
        <w:spacing w:lineRule="auto"/>
      </w:pPr>
      <w:r>
        <w:rPr/>
        <w:t xml:space="preserve">Risico: R10 IT-storing/AVG-incident.</w:t>
      </w:r>
    </w:p>
    <w:p>
      <w:pPr>
        <w:numPr>
          <w:ilvl w:val="0"/>
          <w:numId w:val="18"/>
        </w:numPr>
        <w:spacing w:lineRule="auto"/>
      </w:pPr>
      <w:r>
        <w:rPr/>
        <w:t xml:space="preserve">Bewijs: DPIA, contracten, uptime-rapport.</w:t>
      </w:r>
    </w:p>
    <w:p>
      <w:pPr>
        <w:spacing w:lineRule="auto"/>
      </w:pPr>
      <w:r>
        <w:rPr/>
        <w:t xml:space="preserve">2.K SLA-monitoringplan en rekenregels KPI’s</w:t>
      </w:r>
    </w:p>
    <w:p>
      <w:pPr>
        <w:numPr>
          <w:ilvl w:val="0"/>
          <w:numId w:val="19"/>
        </w:numPr>
        <w:spacing w:lineRule="auto"/>
      </w:pPr>
      <w:r>
        <w:rPr/>
        <w:t xml:space="preserve">Relatie: SLA, W-07</w:t>
      </w:r>
    </w:p>
    <w:p>
      <w:pPr>
        <w:numPr>
          <w:ilvl w:val="0"/>
          <w:numId w:val="19"/>
        </w:numPr>
        <w:spacing w:lineRule="auto"/>
      </w:pPr>
      <w:r>
        <w:rPr/>
        <w:t xml:space="preserve">Inhoud: definities en meetmethoden op tijd, KTO, allergenen; meetsystemen, steekproeftabellen.</w:t>
      </w:r>
    </w:p>
    <w:p>
      <w:pPr>
        <w:numPr>
          <w:ilvl w:val="0"/>
          <w:numId w:val="19"/>
        </w:numPr>
        <w:spacing w:lineRule="auto"/>
      </w:pPr>
      <w:r>
        <w:rPr/>
        <w:t xml:space="preserve">KPI: Op tijd ≥98%, KTO ≥8,2, Allergenen = 0.</w:t>
      </w:r>
    </w:p>
    <w:p>
      <w:pPr>
        <w:numPr>
          <w:ilvl w:val="0"/>
          <w:numId w:val="19"/>
        </w:numPr>
        <w:spacing w:lineRule="auto"/>
      </w:pPr>
      <w:r>
        <w:rPr/>
        <w:t xml:space="preserve">Risico: R11 Meetfouten.</w:t>
      </w:r>
    </w:p>
    <w:p>
      <w:pPr>
        <w:numPr>
          <w:ilvl w:val="0"/>
          <w:numId w:val="19"/>
        </w:numPr>
        <w:spacing w:lineRule="auto"/>
      </w:pPr>
      <w:r>
        <w:rPr/>
        <w:t xml:space="preserve">Bewijs: meetplan, steekproefschema.</w:t>
      </w:r>
    </w:p>
    <w:p>
      <w:pPr>
        <w:spacing w:lineRule="auto"/>
      </w:pPr>
      <w:r>
        <w:rPr/>
        <w:t xml:space="preserve">2.L Klanttevredenheidsonderzoek (KTO) methode en rapportage</w:t>
      </w:r>
    </w:p>
    <w:p>
      <w:pPr>
        <w:numPr>
          <w:ilvl w:val="0"/>
          <w:numId w:val="20"/>
        </w:numPr>
        <w:spacing w:lineRule="auto"/>
      </w:pPr>
      <w:r>
        <w:rPr/>
        <w:t xml:space="preserve">Relatie: SLA, W-07</w:t>
      </w:r>
    </w:p>
    <w:p>
      <w:pPr>
        <w:numPr>
          <w:ilvl w:val="0"/>
          <w:numId w:val="20"/>
        </w:numPr>
        <w:spacing w:lineRule="auto"/>
      </w:pPr>
      <w:r>
        <w:rPr/>
        <w:t xml:space="preserve">Inhoud: vragenlijst 1–10, responsdoel ≥35%, weging per locatie; voorbeeldrapport.</w:t>
      </w:r>
    </w:p>
    <w:p>
      <w:pPr>
        <w:numPr>
          <w:ilvl w:val="0"/>
          <w:numId w:val="20"/>
        </w:numPr>
        <w:spacing w:lineRule="auto"/>
      </w:pPr>
      <w:r>
        <w:rPr/>
        <w:t xml:space="preserve">KPI: KTO ≥8,2.</w:t>
      </w:r>
    </w:p>
    <w:p>
      <w:pPr>
        <w:numPr>
          <w:ilvl w:val="0"/>
          <w:numId w:val="20"/>
        </w:numPr>
        <w:spacing w:lineRule="auto"/>
      </w:pPr>
      <w:r>
        <w:rPr/>
        <w:t xml:space="preserve">Risico: R12 Non-respons bias.</w:t>
      </w:r>
    </w:p>
    <w:p>
      <w:pPr>
        <w:numPr>
          <w:ilvl w:val="0"/>
          <w:numId w:val="20"/>
        </w:numPr>
        <w:spacing w:lineRule="auto"/>
      </w:pPr>
      <w:r>
        <w:rPr/>
        <w:t xml:space="preserve">Bewijs: enquêtesjabloon, rapport.</w:t>
      </w:r>
    </w:p>
    <w:p>
      <w:pPr>
        <w:spacing w:lineRule="auto"/>
      </w:pPr>
      <w:r>
        <w:rPr/>
        <w:t xml:space="preserve">2.M Logistieke vensterprestatie en temperatuurregistratie</w:t>
      </w:r>
    </w:p>
    <w:p>
      <w:pPr>
        <w:numPr>
          <w:ilvl w:val="0"/>
          <w:numId w:val="21"/>
        </w:numPr>
        <w:spacing w:lineRule="auto"/>
      </w:pPr>
      <w:r>
        <w:rPr/>
        <w:t xml:space="preserve">Relatie: SLA, W-02</w:t>
      </w:r>
    </w:p>
    <w:p>
      <w:pPr>
        <w:numPr>
          <w:ilvl w:val="0"/>
          <w:numId w:val="21"/>
        </w:numPr>
        <w:spacing w:lineRule="auto"/>
      </w:pPr>
      <w:r>
        <w:rPr/>
        <w:t xml:space="preserve">Inhoud: route-data, venstergarantie 11:00–13:30; HACCP-temperaturen tijdens transport.</w:t>
      </w:r>
    </w:p>
    <w:p>
      <w:pPr>
        <w:numPr>
          <w:ilvl w:val="0"/>
          <w:numId w:val="21"/>
        </w:numPr>
        <w:spacing w:lineRule="auto"/>
      </w:pPr>
      <w:r>
        <w:rPr/>
        <w:t xml:space="preserve">KPI: Op tijd ≥98%; T° conform.</w:t>
      </w:r>
    </w:p>
    <w:p>
      <w:pPr>
        <w:numPr>
          <w:ilvl w:val="0"/>
          <w:numId w:val="21"/>
        </w:numPr>
        <w:spacing w:lineRule="auto"/>
      </w:pPr>
      <w:r>
        <w:rPr/>
        <w:t xml:space="preserve">Risico: R13 File/vertraging.</w:t>
      </w:r>
    </w:p>
    <w:p>
      <w:pPr>
        <w:numPr>
          <w:ilvl w:val="0"/>
          <w:numId w:val="21"/>
        </w:numPr>
        <w:spacing w:lineRule="auto"/>
      </w:pPr>
      <w:r>
        <w:rPr/>
        <w:t xml:space="preserve">Bewijs: tracker-export, temperatuurcurves.</w:t>
      </w:r>
    </w:p>
    <w:p>
      <w:pPr>
        <w:spacing w:lineRule="auto"/>
      </w:pPr>
      <w:r>
        <w:rPr/>
        <w:t xml:space="preserve">2.N Risicodossier (FMEA) — top 10 risico’s en beheersmaatregelen</w:t>
      </w:r>
    </w:p>
    <w:p>
      <w:pPr>
        <w:numPr>
          <w:ilvl w:val="0"/>
          <w:numId w:val="22"/>
        </w:numPr>
        <w:spacing w:lineRule="auto"/>
      </w:pPr>
      <w:r>
        <w:rPr/>
        <w:t xml:space="preserve">Relatie: EMVI Risico, W-08</w:t>
      </w:r>
    </w:p>
    <w:p>
      <w:pPr>
        <w:numPr>
          <w:ilvl w:val="0"/>
          <w:numId w:val="22"/>
        </w:numPr>
        <w:spacing w:lineRule="auto"/>
      </w:pPr>
      <w:r>
        <w:rPr/>
        <w:t xml:space="preserve">Inhoud: FMEA met RPN, triggers, controles; allergenen, schaarste, IT, personeel, packaging.</w:t>
      </w:r>
    </w:p>
    <w:p>
      <w:pPr>
        <w:numPr>
          <w:ilvl w:val="0"/>
          <w:numId w:val="22"/>
        </w:numPr>
        <w:spacing w:lineRule="auto"/>
      </w:pPr>
      <w:r>
        <w:rPr/>
        <w:t xml:space="preserve">KPI: RPN &lt;100 voor kritieke processen.</w:t>
      </w:r>
    </w:p>
    <w:p>
      <w:pPr>
        <w:numPr>
          <w:ilvl w:val="0"/>
          <w:numId w:val="22"/>
        </w:numPr>
        <w:spacing w:lineRule="auto"/>
      </w:pPr>
      <w:r>
        <w:rPr/>
        <w:t xml:space="preserve">Risico: integraal.</w:t>
      </w:r>
    </w:p>
    <w:p>
      <w:pPr>
        <w:numPr>
          <w:ilvl w:val="0"/>
          <w:numId w:val="22"/>
        </w:numPr>
        <w:spacing w:lineRule="auto"/>
      </w:pPr>
      <w:r>
        <w:rPr/>
        <w:t xml:space="preserve">Bewijs: FMEA-tabel, reviewlog.</w:t>
      </w:r>
    </w:p>
    <w:p>
      <w:pPr>
        <w:spacing w:lineRule="auto"/>
      </w:pPr>
      <w:r>
        <w:rPr/>
        <w:t xml:space="preserve">2.O Business Continuity &amp; Calamiteitenplan</w:t>
      </w:r>
    </w:p>
    <w:p>
      <w:pPr>
        <w:numPr>
          <w:ilvl w:val="0"/>
          <w:numId w:val="23"/>
        </w:numPr>
        <w:spacing w:lineRule="auto"/>
      </w:pPr>
      <w:r>
        <w:rPr/>
        <w:t xml:space="preserve">Relatie: W-08</w:t>
      </w:r>
    </w:p>
    <w:p>
      <w:pPr>
        <w:numPr>
          <w:ilvl w:val="0"/>
          <w:numId w:val="23"/>
        </w:numPr>
        <w:spacing w:lineRule="auto"/>
      </w:pPr>
      <w:r>
        <w:rPr/>
        <w:t xml:space="preserve">Inhoud: fallback keuken, alternatieve leveranciers, noodmenu, communicatiesjabloon.</w:t>
      </w:r>
    </w:p>
    <w:p>
      <w:pPr>
        <w:numPr>
          <w:ilvl w:val="0"/>
          <w:numId w:val="23"/>
        </w:numPr>
        <w:spacing w:lineRule="auto"/>
      </w:pPr>
      <w:r>
        <w:rPr/>
        <w:t xml:space="preserve">KPI: Hersteltijd &lt;4 uur.</w:t>
      </w:r>
    </w:p>
    <w:p>
      <w:pPr>
        <w:numPr>
          <w:ilvl w:val="0"/>
          <w:numId w:val="23"/>
        </w:numPr>
        <w:spacing w:lineRule="auto"/>
      </w:pPr>
      <w:r>
        <w:rPr/>
        <w:t xml:space="preserve">Risico: R14 Uitval productielocatie.</w:t>
      </w:r>
    </w:p>
    <w:p>
      <w:pPr>
        <w:numPr>
          <w:ilvl w:val="0"/>
          <w:numId w:val="23"/>
        </w:numPr>
        <w:spacing w:lineRule="auto"/>
      </w:pPr>
      <w:r>
        <w:rPr/>
        <w:t xml:space="preserve">Bewijs: BCM-plan, testverslag.</w:t>
      </w:r>
    </w:p>
    <w:p>
      <w:pPr>
        <w:spacing w:lineRule="auto"/>
      </w:pPr>
      <w:r>
        <w:rPr/>
        <w:t xml:space="preserve">2.P EU 1169/2011 compliance-matrix</w:t>
      </w:r>
    </w:p>
    <w:p>
      <w:pPr>
        <w:numPr>
          <w:ilvl w:val="0"/>
          <w:numId w:val="24"/>
        </w:numPr>
        <w:spacing w:lineRule="auto"/>
      </w:pPr>
      <w:r>
        <w:rPr/>
        <w:t xml:space="preserve">Relatie: REQ, W-03</w:t>
      </w:r>
    </w:p>
    <w:p>
      <w:pPr>
        <w:numPr>
          <w:ilvl w:val="0"/>
          <w:numId w:val="24"/>
        </w:numPr>
        <w:spacing w:lineRule="auto"/>
      </w:pPr>
      <w:r>
        <w:rPr/>
        <w:t xml:space="preserve">Inhoud: artikel-naar-proces mapping voor allergenen en informatieplicht, labeltemplates.</w:t>
      </w:r>
    </w:p>
    <w:p>
      <w:pPr>
        <w:numPr>
          <w:ilvl w:val="0"/>
          <w:numId w:val="24"/>
        </w:numPr>
        <w:spacing w:lineRule="auto"/>
      </w:pPr>
      <w:r>
        <w:rPr/>
        <w:t xml:space="preserve">KPI: 100% conforme labels.</w:t>
      </w:r>
    </w:p>
    <w:p>
      <w:pPr>
        <w:numPr>
          <w:ilvl w:val="0"/>
          <w:numId w:val="24"/>
        </w:numPr>
        <w:spacing w:lineRule="auto"/>
      </w:pPr>
      <w:r>
        <w:rPr/>
        <w:t xml:space="preserve">Risico: R15 Etiketteerfout.</w:t>
      </w:r>
    </w:p>
    <w:p>
      <w:pPr>
        <w:numPr>
          <w:ilvl w:val="0"/>
          <w:numId w:val="24"/>
        </w:numPr>
        <w:spacing w:lineRule="auto"/>
      </w:pPr>
      <w:r>
        <w:rPr/>
        <w:t xml:space="preserve">Bewijs: matrix, templates.</w:t>
      </w:r>
    </w:p>
    <w:p>
      <w:pPr>
        <w:spacing w:lineRule="auto"/>
      </w:pPr>
      <w:r>
        <w:rPr/>
        <w:t xml:space="preserve">2.Q Verwerkersovereenkomst en dataminimalisatiebeleid</w:t>
      </w:r>
    </w:p>
    <w:p>
      <w:pPr>
        <w:numPr>
          <w:ilvl w:val="0"/>
          <w:numId w:val="25"/>
        </w:numPr>
        <w:spacing w:lineRule="auto"/>
      </w:pPr>
      <w:r>
        <w:rPr/>
        <w:t xml:space="preserve">Relatie: W-06</w:t>
      </w:r>
    </w:p>
    <w:p>
      <w:pPr>
        <w:numPr>
          <w:ilvl w:val="0"/>
          <w:numId w:val="25"/>
        </w:numPr>
        <w:spacing w:lineRule="auto"/>
      </w:pPr>
      <w:r>
        <w:rPr/>
        <w:t xml:space="preserve">Inhoud: verwerkersovereenkomst, bewaartermijnen, privacy by design bewijs.</w:t>
      </w:r>
    </w:p>
    <w:p>
      <w:pPr>
        <w:numPr>
          <w:ilvl w:val="0"/>
          <w:numId w:val="25"/>
        </w:numPr>
        <w:spacing w:lineRule="auto"/>
      </w:pPr>
      <w:r>
        <w:rPr/>
        <w:t xml:space="preserve">KPI: Datalekken = 0.</w:t>
      </w:r>
    </w:p>
    <w:p>
      <w:pPr>
        <w:numPr>
          <w:ilvl w:val="0"/>
          <w:numId w:val="25"/>
        </w:numPr>
        <w:spacing w:lineRule="auto"/>
      </w:pPr>
      <w:r>
        <w:rPr/>
        <w:t xml:space="preserve">Risico: R16 Privacy.</w:t>
      </w:r>
    </w:p>
    <w:p>
      <w:pPr>
        <w:numPr>
          <w:ilvl w:val="0"/>
          <w:numId w:val="25"/>
        </w:numPr>
        <w:spacing w:lineRule="auto"/>
      </w:pPr>
      <w:r>
        <w:rPr/>
        <w:t xml:space="preserve">Bewijs: overeenkomst, beleid.</w:t>
      </w:r>
    </w:p>
    <w:p>
      <w:pPr>
        <w:spacing w:lineRule="auto"/>
      </w:pPr>
      <w:r>
        <w:rPr/>
        <w:t xml:space="preserve">2.R PSO/PSL niveau 3 — sociale waarde</w:t>
      </w:r>
    </w:p>
    <w:p>
      <w:pPr>
        <w:numPr>
          <w:ilvl w:val="0"/>
          <w:numId w:val="26"/>
        </w:numPr>
        <w:spacing w:lineRule="auto"/>
      </w:pPr>
      <w:r>
        <w:rPr/>
        <w:t xml:space="preserve">Relatie: EMVI Duurzaamheid, W-10</w:t>
      </w:r>
    </w:p>
    <w:p>
      <w:pPr>
        <w:numPr>
          <w:ilvl w:val="0"/>
          <w:numId w:val="26"/>
        </w:numPr>
        <w:spacing w:lineRule="auto"/>
      </w:pPr>
      <w:r>
        <w:rPr/>
        <w:t xml:space="preserve">Inhoud: kopie certificaat en jaarverslag inclusief SROI-activiteiten.</w:t>
      </w:r>
    </w:p>
    <w:p>
      <w:pPr>
        <w:numPr>
          <w:ilvl w:val="0"/>
          <w:numId w:val="26"/>
        </w:numPr>
        <w:spacing w:lineRule="auto"/>
      </w:pPr>
      <w:r>
        <w:rPr/>
        <w:t xml:space="preserve">KPI: Uren social return conform niveau 3.</w:t>
      </w:r>
    </w:p>
    <w:p>
      <w:pPr>
        <w:numPr>
          <w:ilvl w:val="0"/>
          <w:numId w:val="26"/>
        </w:numPr>
        <w:spacing w:lineRule="auto"/>
      </w:pPr>
      <w:r>
        <w:rPr/>
        <w:t xml:space="preserve">Risico: R17 Niet halen social return.</w:t>
      </w:r>
    </w:p>
    <w:p>
      <w:pPr>
        <w:numPr>
          <w:ilvl w:val="0"/>
          <w:numId w:val="26"/>
        </w:numPr>
        <w:spacing w:lineRule="auto"/>
      </w:pPr>
      <w:r>
        <w:rPr/>
        <w:t xml:space="preserve">Bewijs: certificaat, rapport.</w:t>
      </w:r>
    </w:p>
    <w:p>
      <w:pPr>
        <w:spacing w:lineRule="auto"/>
      </w:pPr>
      <w:r>
        <w:rPr/>
        <w:t xml:space="preserve">2.S Milieu- en verpakkingseisen — materiaalcompliance</w:t>
      </w:r>
    </w:p>
    <w:p>
      <w:pPr>
        <w:numPr>
          <w:ilvl w:val="0"/>
          <w:numId w:val="27"/>
        </w:numPr>
        <w:spacing w:lineRule="auto"/>
      </w:pPr>
      <w:r>
        <w:rPr/>
        <w:t xml:space="preserve">Relatie: W-05</w:t>
      </w:r>
    </w:p>
    <w:p>
      <w:pPr>
        <w:numPr>
          <w:ilvl w:val="0"/>
          <w:numId w:val="27"/>
        </w:numPr>
        <w:spacing w:lineRule="auto"/>
      </w:pPr>
      <w:r>
        <w:rPr/>
        <w:t xml:space="preserve">Inhoud: materiaalbladen, wasproces, LCA-samenvatting voor herbruikbare bak.</w:t>
      </w:r>
    </w:p>
    <w:p>
      <w:pPr>
        <w:numPr>
          <w:ilvl w:val="0"/>
          <w:numId w:val="27"/>
        </w:numPr>
        <w:spacing w:lineRule="auto"/>
      </w:pPr>
      <w:r>
        <w:rPr/>
        <w:t xml:space="preserve">KPI: Afvalreductie &gt;90% t.o.v. single-use.</w:t>
      </w:r>
    </w:p>
    <w:p>
      <w:pPr>
        <w:numPr>
          <w:ilvl w:val="0"/>
          <w:numId w:val="27"/>
        </w:numPr>
        <w:spacing w:lineRule="auto"/>
      </w:pPr>
      <w:r>
        <w:rPr/>
        <w:t xml:space="preserve">Risico: R18 Materiaaluitval.</w:t>
      </w:r>
    </w:p>
    <w:p>
      <w:pPr>
        <w:numPr>
          <w:ilvl w:val="0"/>
          <w:numId w:val="27"/>
        </w:numPr>
        <w:spacing w:lineRule="auto"/>
      </w:pPr>
      <w:r>
        <w:rPr/>
        <w:t xml:space="preserve">Bewijs: datasheets, LCA-samenvatting.</w:t>
      </w:r>
    </w:p>
    <w:p>
      <w:pPr>
        <w:spacing w:lineRule="auto"/>
      </w:pPr>
      <w:r>
        <w:rPr/>
        <w:t xml:space="preserve">2.T Uitrolplanning en Gantt</w:t>
      </w:r>
    </w:p>
    <w:p>
      <w:pPr>
        <w:numPr>
          <w:ilvl w:val="0"/>
          <w:numId w:val="28"/>
        </w:numPr>
        <w:spacing w:lineRule="auto"/>
      </w:pPr>
      <w:r>
        <w:rPr/>
        <w:t xml:space="preserve">Relatie: W-10</w:t>
      </w:r>
    </w:p>
    <w:p>
      <w:pPr>
        <w:numPr>
          <w:ilvl w:val="0"/>
          <w:numId w:val="28"/>
        </w:numPr>
        <w:spacing w:lineRule="auto"/>
      </w:pPr>
      <w:r>
        <w:rPr/>
        <w:t xml:space="preserve">Inhoud: pilot, acceptatie, go-live, evaluaties op T+30/T+90; afhankelijkheden.</w:t>
      </w:r>
    </w:p>
    <w:p>
      <w:pPr>
        <w:numPr>
          <w:ilvl w:val="0"/>
          <w:numId w:val="28"/>
        </w:numPr>
        <w:spacing w:lineRule="auto"/>
      </w:pPr>
      <w:r>
        <w:rPr/>
        <w:t xml:space="preserve">KPI: Go-live on time.</w:t>
      </w:r>
    </w:p>
    <w:p>
      <w:pPr>
        <w:numPr>
          <w:ilvl w:val="0"/>
          <w:numId w:val="28"/>
        </w:numPr>
        <w:spacing w:lineRule="auto"/>
      </w:pPr>
      <w:r>
        <w:rPr/>
        <w:t xml:space="preserve">Risico: R19 Vertraging onboarding.</w:t>
      </w:r>
    </w:p>
    <w:p>
      <w:pPr>
        <w:numPr>
          <w:ilvl w:val="0"/>
          <w:numId w:val="28"/>
        </w:numPr>
        <w:spacing w:lineRule="auto"/>
      </w:pPr>
      <w:r>
        <w:rPr/>
        <w:t xml:space="preserve">Bewijs: planning, mijlpalen.</w:t>
      </w:r>
    </w:p>
    <w:p>
      <w:pPr>
        <w:spacing w:lineRule="auto"/>
      </w:pPr>
      <w:r>
        <w:rPr/>
        <w:t xml:space="preserve">2.U KPI-overzicht en maandrapportages voorbeelden</w:t>
      </w:r>
    </w:p>
    <w:p>
      <w:pPr>
        <w:numPr>
          <w:ilvl w:val="0"/>
          <w:numId w:val="29"/>
        </w:numPr>
        <w:spacing w:lineRule="auto"/>
      </w:pPr>
      <w:r>
        <w:rPr/>
        <w:t xml:space="preserve">Relatie: Deliverable, W-07</w:t>
      </w:r>
    </w:p>
    <w:p>
      <w:pPr>
        <w:numPr>
          <w:ilvl w:val="0"/>
          <w:numId w:val="29"/>
        </w:numPr>
        <w:spacing w:lineRule="auto"/>
      </w:pPr>
      <w:r>
        <w:rPr/>
        <w:t xml:space="preserve">Inhoud: voorbeeld-maandrapport KPI’s, trendgrafieken, CAPA-tracker.</w:t>
      </w:r>
    </w:p>
    <w:p>
      <w:pPr>
        <w:numPr>
          <w:ilvl w:val="0"/>
          <w:numId w:val="29"/>
        </w:numPr>
        <w:spacing w:lineRule="auto"/>
      </w:pPr>
      <w:r>
        <w:rPr/>
        <w:t xml:space="preserve">KPI: Alle KPI’s zichtbaar en actueel.</w:t>
      </w:r>
    </w:p>
    <w:p>
      <w:pPr>
        <w:numPr>
          <w:ilvl w:val="0"/>
          <w:numId w:val="29"/>
        </w:numPr>
        <w:spacing w:lineRule="auto"/>
      </w:pPr>
      <w:r>
        <w:rPr/>
        <w:t xml:space="preserve">Risico: R20 Onvolledige rapportage.</w:t>
      </w:r>
    </w:p>
    <w:p>
      <w:pPr>
        <w:numPr>
          <w:ilvl w:val="0"/>
          <w:numId w:val="29"/>
        </w:numPr>
        <w:spacing w:lineRule="auto"/>
      </w:pPr>
      <w:r>
        <w:rPr/>
        <w:t xml:space="preserve">Bewijs: rapportvoorbeelden.</w:t>
      </w:r>
    </w:p>
    <w:p>
      <w:pPr>
        <w:numPr>
          <w:ilvl w:val="0"/>
          <w:numId w:val="30"/>
        </w:numPr>
        <w:spacing w:lineRule="auto"/>
      </w:pPr>
      <w:r>
        <w:rPr/>
        <w:t xml:space="preserve">Overzicht bijlagen | Bijlage | Beschrijving | Relatie (W-xx/KO/REQ) | Status | Verwijzing (pag./sectie) | | A | Certificaat ISO 22000 en toepassingsgebied | W-01, KO | Gereed (PDF) | Sectie 2.A | | B | HACCP-plan en verificatielogboeken | W-01, KO | Gereed | Sectie 2.B | | C | Capaciteitsverklaring ≥500 couverts/dag en logistiek bewijs | W-02, KO | Gereed | Sectie 2.C | | D | Allergenenbeheer en dieetprofielen (EU 1169/2011) | W-03, REQ | Gereed | Sectie 2.D | | E | Biologisch ≥25% — leveranciers- en inkoopbewijzen | W-04, REQ | Gereed | Sectie 2.E | | F | Lokaal/regionaal ≥30% — producentenlijst en traceerbaarheid | W-04, REQ | Gereed | Sectie 2.F | | G | Zero-waste verpakkingsspecificaties en retourlogistiek | W-05, REQ | Gereed | Sectie 2.G | | H | Foodwaste-meetprotocol en dashboard | W-05, REQ | Gereed | Sectie 2.H | | I | Seizoensmenu’s en rotatiekalender | W-09 | Gereed | Sectie 2.I | | J | Digitaal bestelsysteem — AVG, DPIA, verwerkersovereenkomst | W-06, REQ | Gereed | Sectie 2.J | | K | SLA-monitoringplan en rekenregels KPI’s | W-07, SLA | Gereed | Sectie 2.K | | L | Klanttevredenheidsonderzoek (KTO) methode en rapportage | W-07, SLA | Gereed | Sectie 2.L | | M | Logistieke vensterprestatie en temperatuurregistratie | W-02, SLA | Gereed | Sectie 2.M | | N | Risicodossier (FMEA) — top 10 risico’s en beheersmaatregelen | W-08 | Gereed | Sectie 2.N | | O | Business Continuity &amp; Calamiteitenplan | W-08 | Gereed | Sectie 2.O | | P | EU 1169/2011 compliance-matrix | W-03, REQ | Gereed | Sectie 2.P | | Q | Verwerkersovereenkomst en dataminimalisatiebeleid | W-06 | Gereed | Sectie 2.Q | | R | PSO/PSL niveau 3 — sociale waarde | W-10 | Gereed | Sectie 2.R | | S | Milieu- en verpakkingseisen — materiaalcompliance | W-05 | Gereed | Sectie 2.S | | T | Uitrolplanning en Gantt | W-10 | Gereed | Sectie 2.T | | U | KPI-overzicht en maandrapportages voorbeelden | W-07 | Gereed | Sectie 2.U |</w:t>
      </w:r>
    </w:p>
    <w:p>
      <w:pPr>
        <w:numPr>
          <w:ilvl w:val="0"/>
          <w:numId w:val="30"/>
        </w:numPr>
        <w:spacing w:lineRule="auto"/>
      </w:pPr>
      <w:r>
        <w:rPr/>
        <w:t xml:space="preserve">Kruisverwijzing W-xx ↔ KPI ↔ Risico ↔ Bewijs | W-xx | Doel | KPI | Toprisico | Bewijs (Bijlage) | | W-01 Voedselveiligheid | Zero incidenten | Allergenen-fouten = 0 | R1/R2 | A, B | | W-02 Capaciteit &amp; Logistiek | Op tijd ≥98% | Op tijd geleverd | R3/R13 | C, M | | W-03 Allergenen &amp; Dieetprofielen | Conform 1169/2011 | Allergenen-fouten = 0 | R4/R15 | D, P | | W-04 Duurzame Inkoop | Bio ≥25%; Lokaal ≥30% | % bio; % lokaal | R5/R6 | E, F | | W-05 Zero-waste &amp; Foodwaste | Waste &lt;3%; 100% herbruikbaar | Foodwaste %; verpakkingsverlies | R7/R8/R18 | G, H, S | | W-06 Digitale systemen &amp; AVG | Veilig en beschikbaar | Uptime ≥99,9%; datalekken = 0 | R10/R16 | J, Q | | W-07 SLA &amp; KTO | Transparant sturen | KTO ≥8,2; SLA’s gehaald | R11/R20 | K, L, U | | W-08 Risicobeheersing &amp; BCM | Continuïteit geborgd | RPN &lt;100; RTO &lt;4u | R14 | N, O | | W-09 Seizoensmenu &amp; Kwaliteit | Variatie en passend aanbod | Rotatie 100%; dieetdekking ≥35% | R9 | I | | W-10 Contract &amp; Governance | Tijdig en compliant | Go-live op tijd | R19/R17 | T, R |</w:t>
      </w:r>
    </w:p>
    <w:p>
      <w:pPr>
        <w:numPr>
          <w:ilvl w:val="0"/>
          <w:numId w:val="30"/>
        </w:numPr>
        <w:spacing w:lineRule="auto"/>
      </w:pPr>
      <w:r>
        <w:rPr/>
        <w:t xml:space="preserve">SMART-meet- en rapportageafspraken (samenvatting)</w:t>
      </w:r>
    </w:p>
    <w:p>
      <w:pPr>
        <w:numPr>
          <w:ilvl w:val="0"/>
          <w:numId w:val="31"/>
        </w:numPr>
        <w:spacing w:lineRule="auto"/>
      </w:pPr>
      <w:r>
        <w:rPr/>
        <w:t xml:space="preserve">Specifiek: KPI-definities en rekenregels vastgelegd in Bijlage K; allergenenbeheer conform Bijlage D/P; zero-waste proces per Bijlage G/H.</w:t>
      </w:r>
    </w:p>
    <w:p>
      <w:pPr>
        <w:numPr>
          <w:ilvl w:val="0"/>
          <w:numId w:val="31"/>
        </w:numPr>
        <w:spacing w:lineRule="auto"/>
      </w:pPr>
      <w:r>
        <w:rPr/>
        <w:t xml:space="preserve">Meetbaar: Maandelijkse KPI-rapporten (Bijlage U); brondata uit TMS/WMS, inkoop-ERP, KTO-tool.</w:t>
      </w:r>
    </w:p>
    <w:p>
      <w:pPr>
        <w:numPr>
          <w:ilvl w:val="0"/>
          <w:numId w:val="31"/>
        </w:numPr>
        <w:spacing w:lineRule="auto"/>
      </w:pPr>
      <w:r>
        <w:rPr/>
        <w:t xml:space="preserve">Acceptabel: Targets conform aanbesteding; afwijkingen &gt;5% vereisen CAPA (zie PDCA Act).</w:t>
      </w:r>
    </w:p>
    <w:p>
      <w:pPr>
        <w:numPr>
          <w:ilvl w:val="0"/>
          <w:numId w:val="31"/>
        </w:numPr>
        <w:spacing w:lineRule="auto"/>
      </w:pPr>
      <w:r>
        <w:rPr/>
        <w:t xml:space="preserve">Realistisch: Capaciteitstest 600 couverts/120 min (Bijlage C) en leveranciersportfolio (E/F) onderbouwen haalbaarheid.</w:t>
      </w:r>
    </w:p>
    <w:p>
      <w:pPr>
        <w:numPr>
          <w:ilvl w:val="0"/>
          <w:numId w:val="31"/>
        </w:numPr>
        <w:spacing w:lineRule="auto"/>
      </w:pPr>
      <w:r>
        <w:rPr/>
        <w:t xml:space="preserve">Tijdsgebonden: Reviewcycli wekelijks/maandelijks/kwartaal; RTO &lt;4u (O); go-live volgens Gantt (T).</w:t>
      </w:r>
    </w:p>
    <w:p>
      <w:pPr>
        <w:numPr>
          <w:ilvl w:val="0"/>
          <w:numId w:val="32"/>
        </w:numPr>
        <w:spacing w:lineRule="auto"/>
      </w:pPr>
      <w:r>
        <w:rPr/>
        <w:t xml:space="preserve">Knock-out en REQ-conformiteit (controlelijst)</w:t>
      </w:r>
    </w:p>
    <w:p>
      <w:pPr>
        <w:numPr>
          <w:ilvl w:val="0"/>
          <w:numId w:val="33"/>
        </w:numPr>
        <w:spacing w:lineRule="auto"/>
      </w:pPr>
      <w:r>
        <w:rPr/>
        <w:t xml:space="preserve">KO: ISO 22000/HACCP aantoonbaar — A en B (Gereed).</w:t>
      </w:r>
    </w:p>
    <w:p>
      <w:pPr>
        <w:numPr>
          <w:ilvl w:val="0"/>
          <w:numId w:val="33"/>
        </w:numPr>
        <w:spacing w:lineRule="auto"/>
      </w:pPr>
      <w:r>
        <w:rPr/>
        <w:t xml:space="preserve">KO: Levercapaciteit ≥500 couverts/dag — C (Gereed).</w:t>
      </w:r>
    </w:p>
    <w:p>
      <w:pPr>
        <w:numPr>
          <w:ilvl w:val="0"/>
          <w:numId w:val="33"/>
        </w:numPr>
        <w:spacing w:lineRule="auto"/>
      </w:pPr>
      <w:r>
        <w:rPr/>
        <w:t xml:space="preserve">REQ: Allergenenregistratie &amp; dieetprofielen — D en P (Gereed).</w:t>
      </w:r>
    </w:p>
    <w:p>
      <w:pPr>
        <w:numPr>
          <w:ilvl w:val="0"/>
          <w:numId w:val="33"/>
        </w:numPr>
        <w:spacing w:lineRule="auto"/>
      </w:pPr>
      <w:r>
        <w:rPr/>
        <w:t xml:space="preserve">REQ: Min. 25% biologisch &amp; 30% lokaal/regionaal — E en F (Gereed).</w:t>
      </w:r>
    </w:p>
    <w:p>
      <w:pPr>
        <w:numPr>
          <w:ilvl w:val="0"/>
          <w:numId w:val="33"/>
        </w:numPr>
        <w:spacing w:lineRule="auto"/>
      </w:pPr>
      <w:r>
        <w:rPr/>
        <w:t xml:space="preserve">REQ: Foodwaste &lt;3% &amp; zero-waste verpakkingen — H en G (Gereed).</w:t>
      </w:r>
    </w:p>
    <w:p>
      <w:pPr>
        <w:numPr>
          <w:ilvl w:val="0"/>
          <w:numId w:val="33"/>
        </w:numPr>
        <w:spacing w:lineRule="auto"/>
      </w:pPr>
      <w:r>
        <w:rPr/>
        <w:t xml:space="preserve">REQ: Digitaal bestelsysteem met dieetprofielen — D en J (Gereed).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Bewijsstukkenbundel</dc:title>
  <dc:subject/>
  <dc:creator>html-to-docx</dc:creator>
  <cp:keywords>html-to-docx</cp:keywords>
  <dc:description/>
  <cp:lastModifiedBy>html-to-docx</cp:lastModifiedBy>
  <cp:revision>1</cp:revision>
  <dcterms:created xsi:type="dcterms:W3CDTF">2025-11-04T09:23:04.643Z</dcterms:created>
  <dcterms:modified xsi:type="dcterms:W3CDTF">2025-11-04T09:23:04.643Z</dcterms:modified>
</cp:coreProperties>
</file>