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NvI – Clarificatievragen t.b.v. Raamovereenkomst Duurzame Catering en Bedrijfslunch 2026–2030 (GEM-AMS-CATER-2026-014)</w:t>
      </w:r>
    </w:p>
    <w:p>
      <w:pPr>
        <w:spacing w:lineRule="auto"/>
      </w:pPr>
      <w:r>
        <w:rPr/>
        <w:t xml:space="preserve">Kruisverwijzing W-xx (voor consistentie in KPI, risico en bewijs)</w:t>
      </w:r>
    </w:p>
    <w:p>
      <w:pPr>
        <w:numPr>
          <w:ilvl w:val="0"/>
          <w:numId w:val="1"/>
        </w:numPr>
        <w:spacing w:lineRule="auto"/>
      </w:pPr>
      <w:r>
        <w:rPr/>
        <w:t xml:space="preserve">W-01: KO – ISO 22000/HACCP aantoonbaar (geldig)</w:t>
      </w:r>
    </w:p>
    <w:p>
      <w:pPr>
        <w:numPr>
          <w:ilvl w:val="0"/>
          <w:numId w:val="1"/>
        </w:numPr>
        <w:spacing w:lineRule="auto"/>
      </w:pPr>
      <w:r>
        <w:rPr/>
        <w:t xml:space="preserve">W-02: KO – Levercapaciteit ≥ 500 couverts/dag</w:t>
      </w:r>
    </w:p>
    <w:p>
      <w:pPr>
        <w:numPr>
          <w:ilvl w:val="0"/>
          <w:numId w:val="1"/>
        </w:numPr>
        <w:spacing w:lineRule="auto"/>
      </w:pPr>
      <w:r>
        <w:rPr/>
        <w:t xml:space="preserve">W-03: Must – Allergenenregistratie en dieetprofielen</w:t>
      </w:r>
    </w:p>
    <w:p>
      <w:pPr>
        <w:numPr>
          <w:ilvl w:val="0"/>
          <w:numId w:val="1"/>
        </w:numPr>
        <w:spacing w:lineRule="auto"/>
      </w:pPr>
      <w:r>
        <w:rPr/>
        <w:t xml:space="preserve">W-04: Must – ≥25% biologisch en ≥30% lokaal/regionaal</w:t>
      </w:r>
    </w:p>
    <w:p>
      <w:pPr>
        <w:numPr>
          <w:ilvl w:val="0"/>
          <w:numId w:val="1"/>
        </w:numPr>
        <w:spacing w:lineRule="auto"/>
      </w:pPr>
      <w:r>
        <w:rPr/>
        <w:t xml:space="preserve">W-05: Must – Foodwaste &lt;3% en zero-waste verpakkingen</w:t>
      </w:r>
    </w:p>
    <w:p>
      <w:pPr>
        <w:numPr>
          <w:ilvl w:val="0"/>
          <w:numId w:val="1"/>
        </w:numPr>
        <w:spacing w:lineRule="auto"/>
      </w:pPr>
      <w:r>
        <w:rPr/>
        <w:t xml:space="preserve">W-06: SLA – Op tijd geleverd ≥98%</w:t>
      </w:r>
    </w:p>
    <w:p>
      <w:pPr>
        <w:numPr>
          <w:ilvl w:val="0"/>
          <w:numId w:val="1"/>
        </w:numPr>
        <w:spacing w:lineRule="auto"/>
      </w:pPr>
      <w:r>
        <w:rPr/>
        <w:t xml:space="preserve">W-07: SLA – Klanttevredenheid ≥8,2</w:t>
      </w:r>
    </w:p>
    <w:p>
      <w:pPr>
        <w:numPr>
          <w:ilvl w:val="0"/>
          <w:numId w:val="1"/>
        </w:numPr>
        <w:spacing w:lineRule="auto"/>
      </w:pPr>
      <w:r>
        <w:rPr/>
        <w:t xml:space="preserve">W-08: SLA – Allergenen-fouten 0</w:t>
      </w:r>
    </w:p>
    <w:p>
      <w:pPr>
        <w:numPr>
          <w:ilvl w:val="0"/>
          <w:numId w:val="1"/>
        </w:numPr>
        <w:spacing w:lineRule="auto"/>
      </w:pPr>
      <w:r>
        <w:rPr/>
        <w:t xml:space="preserve">W-09: Vensters – Levering 11:00–13:30 meerdere locaties</w:t>
      </w:r>
    </w:p>
    <w:p>
      <w:pPr>
        <w:numPr>
          <w:ilvl w:val="0"/>
          <w:numId w:val="1"/>
        </w:numPr>
        <w:spacing w:lineRule="auto"/>
      </w:pPr>
      <w:r>
        <w:rPr/>
        <w:t xml:space="preserve">W-10: Digitaal bestelsysteem met dieetprofielen en allergenen (EU 1169/2011)</w:t>
      </w:r>
    </w:p>
    <w:p>
      <w:pPr>
        <w:numPr>
          <w:ilvl w:val="0"/>
          <w:numId w:val="2"/>
        </w:numPr>
        <w:spacing w:lineRule="auto"/>
      </w:pPr>
      <w:r>
        <w:rPr/>
        <w:t xml:space="preserve">Volumes per locatie, piekverdeling en vensterruimte</w:t>
      </w:r>
    </w:p>
    <w:p>
      <w:pPr>
        <w:numPr>
          <w:ilvl w:val="0"/>
          <w:numId w:val="3"/>
        </w:numPr>
        <w:spacing w:lineRule="auto"/>
      </w:pPr>
      <w:r>
        <w:rPr/>
        <w:t xml:space="preserve">Vraag: Kunt u per locatie het adres, aantal couverts per dag (gemiddeld/piek), gewenste levertijdvenster binnen 11:00–13:30 en eventuele spreiding (batch-leveringen) aanleveren, incl. toegangs-/loscondities (laadkuil, lift, badge, security, wachttijden)?</w:t>
      </w:r>
    </w:p>
    <w:p>
      <w:pPr>
        <w:numPr>
          <w:ilvl w:val="0"/>
          <w:numId w:val="3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3"/>
        </w:numPr>
        <w:spacing w:lineRule="auto"/>
      </w:pPr>
      <w:r>
        <w:rPr/>
        <w:t xml:space="preserve">Impact: Direct op routering, personeelsinzet en borging W-02 en W-06</w:t>
      </w:r>
    </w:p>
    <w:p>
      <w:pPr>
        <w:numPr>
          <w:ilvl w:val="0"/>
          <w:numId w:val="3"/>
        </w:numPr>
        <w:spacing w:lineRule="auto"/>
      </w:pPr>
      <w:r>
        <w:rPr/>
        <w:t xml:space="preserve">Afhankelijkheden: Locatieprofielen en beveiligingsprocedures</w:t>
      </w:r>
    </w:p>
    <w:p>
      <w:pPr>
        <w:numPr>
          <w:ilvl w:val="0"/>
          <w:numId w:val="3"/>
        </w:numPr>
        <w:spacing w:lineRule="auto"/>
      </w:pPr>
      <w:r>
        <w:rPr/>
        <w:t xml:space="preserve">KPI-koppeling: W-06 (≥98% op tijd); additioneel: “% leveringen zonder wachttijd &gt;10 min”</w:t>
      </w:r>
    </w:p>
    <w:p>
      <w:pPr>
        <w:numPr>
          <w:ilvl w:val="0"/>
          <w:numId w:val="3"/>
        </w:numPr>
        <w:spacing w:lineRule="auto"/>
      </w:pPr>
      <w:r>
        <w:rPr/>
        <w:t xml:space="preserve">Risico: Vertragingen bij piekuren leiden tot SLA-breuk en boetes</w:t>
      </w:r>
    </w:p>
    <w:p>
      <w:pPr>
        <w:numPr>
          <w:ilvl w:val="0"/>
          <w:numId w:val="3"/>
        </w:numPr>
        <w:spacing w:lineRule="auto"/>
      </w:pPr>
      <w:r>
        <w:rPr/>
        <w:t xml:space="preserve">Bewijs/meetmethode: Leverbon-timestamps + GPS route-data; maandelijkse SLA-rapportage met locatie-breakdown</w:t>
      </w:r>
    </w:p>
    <w:p>
      <w:pPr>
        <w:numPr>
          <w:ilvl w:val="0"/>
          <w:numId w:val="4"/>
        </w:numPr>
        <w:spacing w:lineRule="auto"/>
      </w:pPr>
      <w:r>
        <w:rPr/>
        <w:t xml:space="preserve">Definitie “lokaal/regionaal” en borging biologisch aandeel</w:t>
      </w:r>
    </w:p>
    <w:p>
      <w:pPr>
        <w:numPr>
          <w:ilvl w:val="0"/>
          <w:numId w:val="5"/>
        </w:numPr>
        <w:spacing w:lineRule="auto"/>
      </w:pPr>
      <w:r>
        <w:rPr/>
        <w:t xml:space="preserve">Vraag: Welke radius (km of provinciegrenzen) hanteert u voor lokaal/regionaal en hoe wordt de 30% berekend (op ingrediëntgewicht, inkoopwaarde of menuregel)? Hoe verifieert u ≥25% biologisch (SKAL, EU Bio) en op welk aggregatieniveau (maand/kwartaal)?</w:t>
      </w:r>
    </w:p>
    <w:p>
      <w:pPr>
        <w:numPr>
          <w:ilvl w:val="0"/>
          <w:numId w:val="5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5"/>
        </w:numPr>
        <w:spacing w:lineRule="auto"/>
      </w:pPr>
      <w:r>
        <w:rPr/>
        <w:t xml:space="preserve">Impact: Menu-engine, inkoopcontracten en bewijsvoering W-04</w:t>
      </w:r>
    </w:p>
    <w:p>
      <w:pPr>
        <w:numPr>
          <w:ilvl w:val="0"/>
          <w:numId w:val="5"/>
        </w:numPr>
        <w:spacing w:lineRule="auto"/>
      </w:pPr>
      <w:r>
        <w:rPr/>
        <w:t xml:space="preserve">Afhankelijkheden: Auditkader en steekproefprotocol</w:t>
      </w:r>
    </w:p>
    <w:p>
      <w:pPr>
        <w:numPr>
          <w:ilvl w:val="0"/>
          <w:numId w:val="5"/>
        </w:numPr>
        <w:spacing w:lineRule="auto"/>
      </w:pPr>
      <w:r>
        <w:rPr/>
        <w:t xml:space="preserve">KPI-koppeling: W-04 KPI’s: “% biologisch (waarde)”, “% lokaal (waarde)”</w:t>
      </w:r>
    </w:p>
    <w:p>
      <w:pPr>
        <w:numPr>
          <w:ilvl w:val="0"/>
          <w:numId w:val="5"/>
        </w:numPr>
        <w:spacing w:lineRule="auto"/>
      </w:pPr>
      <w:r>
        <w:rPr/>
        <w:t xml:space="preserve">Risico: Afkeur bij aanbestedingscontrole/audit; reputatierisico</w:t>
      </w:r>
    </w:p>
    <w:p>
      <w:pPr>
        <w:numPr>
          <w:ilvl w:val="0"/>
          <w:numId w:val="5"/>
        </w:numPr>
        <w:spacing w:lineRule="auto"/>
      </w:pPr>
      <w:r>
        <w:rPr/>
        <w:t xml:space="preserve">Bewijs/meetmethode: SKAL-certificaat + geanonimiseerde inkoopjournalen en leveranciersverklaringen; dashboard-export per periode</w:t>
      </w:r>
    </w:p>
    <w:p>
      <w:pPr>
        <w:numPr>
          <w:ilvl w:val="0"/>
          <w:numId w:val="6"/>
        </w:numPr>
        <w:spacing w:lineRule="auto"/>
      </w:pPr>
      <w:r>
        <w:rPr/>
        <w:t xml:space="preserve">Zero-waste en foodwaste &lt;3% – scope, definities en meting</w:t>
      </w:r>
    </w:p>
    <w:p>
      <w:pPr>
        <w:numPr>
          <w:ilvl w:val="0"/>
          <w:numId w:val="7"/>
        </w:numPr>
        <w:spacing w:lineRule="auto"/>
      </w:pPr>
      <w:r>
        <w:rPr/>
        <w:t xml:space="preserve">Vraag: Valt plate waste van medewerkers ook in de 3%? Is 3% op productiebasis of op served basis, per locatie of totaal? Welke herbruikbare verpakkingen accepteert u, inclusief statiegeld/logistiek retourproces en afwasfaciliteiten op site?</w:t>
      </w:r>
    </w:p>
    <w:p>
      <w:pPr>
        <w:numPr>
          <w:ilvl w:val="0"/>
          <w:numId w:val="7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7"/>
        </w:numPr>
        <w:spacing w:lineRule="auto"/>
      </w:pPr>
      <w:r>
        <w:rPr/>
        <w:t xml:space="preserve">Impact: Operationele inrichting, verpakkingstechniek en datametingen W-05</w:t>
      </w:r>
    </w:p>
    <w:p>
      <w:pPr>
        <w:numPr>
          <w:ilvl w:val="0"/>
          <w:numId w:val="7"/>
        </w:numPr>
        <w:spacing w:lineRule="auto"/>
      </w:pPr>
      <w:r>
        <w:rPr/>
        <w:t xml:space="preserve">Afhankelijkheden: Beschikbaarheid retourpunten en wascapaciteit</w:t>
      </w:r>
    </w:p>
    <w:p>
      <w:pPr>
        <w:numPr>
          <w:ilvl w:val="0"/>
          <w:numId w:val="7"/>
        </w:numPr>
        <w:spacing w:lineRule="auto"/>
      </w:pPr>
      <w:r>
        <w:rPr/>
        <w:t xml:space="preserve">KPI-koppeling: W-05 KPI’s: “% foodwaste per locatie”, “% retourverpakking correct retour”</w:t>
      </w:r>
    </w:p>
    <w:p>
      <w:pPr>
        <w:numPr>
          <w:ilvl w:val="0"/>
          <w:numId w:val="7"/>
        </w:numPr>
        <w:spacing w:lineRule="auto"/>
      </w:pPr>
      <w:r>
        <w:rPr/>
        <w:t xml:space="preserve">Risico: Overschrijding 3% door onduidelijke scope; afvalkosten stijgen</w:t>
      </w:r>
    </w:p>
    <w:p>
      <w:pPr>
        <w:numPr>
          <w:ilvl w:val="0"/>
          <w:numId w:val="7"/>
        </w:numPr>
        <w:spacing w:lineRule="auto"/>
      </w:pPr>
      <w:r>
        <w:rPr/>
        <w:t xml:space="preserve">Bewijs/meetmethode: Weegregistraties per batch en locatie; maandrapport met oorzaakcodering (overproductie/plate/retour)</w:t>
      </w:r>
    </w:p>
    <w:p>
      <w:pPr>
        <w:numPr>
          <w:ilvl w:val="0"/>
          <w:numId w:val="8"/>
        </w:numPr>
        <w:spacing w:lineRule="auto"/>
      </w:pPr>
      <w:r>
        <w:rPr/>
        <w:t xml:space="preserve">Allergenenregistratie en ‘zero errors’ in de keten</w:t>
      </w:r>
    </w:p>
    <w:p>
      <w:pPr>
        <w:numPr>
          <w:ilvl w:val="0"/>
          <w:numId w:val="9"/>
        </w:numPr>
        <w:spacing w:lineRule="auto"/>
      </w:pPr>
      <w:r>
        <w:rPr/>
        <w:t xml:space="preserve">Vraag: Kunt u het format eisen voor allergenen- en ingrediëntenregistratie specificeren (velddefinities, versiebeheer, taal), inclusief proces voor last-minute receptwijzigingen en labeling op locatie? Hoe wordt 0 fouten (W-08) getoetst en wat is het escalatieprotocol bij een melding?</w:t>
      </w:r>
    </w:p>
    <w:p>
      <w:pPr>
        <w:numPr>
          <w:ilvl w:val="0"/>
          <w:numId w:val="9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9"/>
        </w:numPr>
        <w:spacing w:lineRule="auto"/>
      </w:pPr>
      <w:r>
        <w:rPr/>
        <w:t xml:space="preserve">Impact: Softwareconfiguratie, training en QA W-03/W-08</w:t>
      </w:r>
    </w:p>
    <w:p>
      <w:pPr>
        <w:numPr>
          <w:ilvl w:val="0"/>
          <w:numId w:val="9"/>
        </w:numPr>
        <w:spacing w:lineRule="auto"/>
      </w:pPr>
      <w:r>
        <w:rPr/>
        <w:t xml:space="preserve">Afhankelijkheden: Acceptatie van datamodel en etiketteringswijze</w:t>
      </w:r>
    </w:p>
    <w:p>
      <w:pPr>
        <w:numPr>
          <w:ilvl w:val="0"/>
          <w:numId w:val="9"/>
        </w:numPr>
        <w:spacing w:lineRule="auto"/>
      </w:pPr>
      <w:r>
        <w:rPr/>
        <w:t xml:space="preserve">KPI-koppeling: W-08: “# allergenen-incidenten = 0”; “% recepten met actuele versie = 100%”</w:t>
      </w:r>
    </w:p>
    <w:p>
      <w:pPr>
        <w:numPr>
          <w:ilvl w:val="0"/>
          <w:numId w:val="9"/>
        </w:numPr>
        <w:spacing w:lineRule="auto"/>
      </w:pPr>
      <w:r>
        <w:rPr/>
        <w:t xml:space="preserve">Risico: Gezondheidsincident; contractuele ontbinding</w:t>
      </w:r>
    </w:p>
    <w:p>
      <w:pPr>
        <w:numPr>
          <w:ilvl w:val="0"/>
          <w:numId w:val="9"/>
        </w:numPr>
        <w:spacing w:lineRule="auto"/>
      </w:pPr>
      <w:r>
        <w:rPr/>
        <w:t xml:space="preserve">Bewijs/meetmethode: Recept- en batchlog met tijdstempel; audit trail wijzigingen; incidentlogboek en testrapporten steekproeven</w:t>
      </w:r>
    </w:p>
    <w:p>
      <w:pPr>
        <w:numPr>
          <w:ilvl w:val="0"/>
          <w:numId w:val="10"/>
        </w:numPr>
        <w:spacing w:lineRule="auto"/>
      </w:pPr>
      <w:r>
        <w:rPr/>
        <w:t xml:space="preserve">Digitaal bestelsysteem: integratie, AVG en toegankelijkheid</w:t>
      </w:r>
    </w:p>
    <w:p>
      <w:pPr>
        <w:numPr>
          <w:ilvl w:val="0"/>
          <w:numId w:val="11"/>
        </w:numPr>
        <w:spacing w:lineRule="auto"/>
      </w:pPr>
      <w:r>
        <w:rPr/>
        <w:t xml:space="preserve">Vraag: Vereist u SSO (Azure AD/Microsoft Entra), API-koppelingen (bestellingen, dieetprofielen), WCAG 2.1 AA, meertaligheid en mobiele apps? Wat zijn cutoff-tijden, annuleringsregels en dataminimalisatie-/retentie-eisen conform AVG?</w:t>
      </w:r>
    </w:p>
    <w:p>
      <w:pPr>
        <w:numPr>
          <w:ilvl w:val="0"/>
          <w:numId w:val="11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1"/>
        </w:numPr>
        <w:spacing w:lineRule="auto"/>
      </w:pPr>
      <w:r>
        <w:rPr/>
        <w:t xml:space="preserve">Impact: IT-architectuur, privacy en adoptie W-10/W-07</w:t>
      </w:r>
    </w:p>
    <w:p>
      <w:pPr>
        <w:numPr>
          <w:ilvl w:val="0"/>
          <w:numId w:val="11"/>
        </w:numPr>
        <w:spacing w:lineRule="auto"/>
      </w:pPr>
      <w:r>
        <w:rPr/>
        <w:t xml:space="preserve">Afhankelijkheden: IAM, security assessment, DPIA</w:t>
      </w:r>
    </w:p>
    <w:p>
      <w:pPr>
        <w:numPr>
          <w:ilvl w:val="0"/>
          <w:numId w:val="11"/>
        </w:numPr>
        <w:spacing w:lineRule="auto"/>
      </w:pPr>
      <w:r>
        <w:rPr/>
        <w:t xml:space="preserve">KPI-koppeling: “Systeemuptime ≥99,5%”, “Bestelconversie ≥95%”, W-07 klanttevredenheid</w:t>
      </w:r>
    </w:p>
    <w:p>
      <w:pPr>
        <w:numPr>
          <w:ilvl w:val="0"/>
          <w:numId w:val="11"/>
        </w:numPr>
        <w:spacing w:lineRule="auto"/>
      </w:pPr>
      <w:r>
        <w:rPr/>
        <w:t xml:space="preserve">Risico: Niet-conform AVG/WCAG; lagere gebruikerstevredenheid</w:t>
      </w:r>
    </w:p>
    <w:p>
      <w:pPr>
        <w:numPr>
          <w:ilvl w:val="0"/>
          <w:numId w:val="11"/>
        </w:numPr>
        <w:spacing w:lineRule="auto"/>
      </w:pPr>
      <w:r>
        <w:rPr/>
        <w:t xml:space="preserve">Bewijs/meetmethode: Pen-/accessibility-test, DPIA rapport, uptime-rapportages, API-specs en testruns</w:t>
      </w:r>
    </w:p>
    <w:p>
      <w:pPr>
        <w:numPr>
          <w:ilvl w:val="0"/>
          <w:numId w:val="12"/>
        </w:numPr>
        <w:spacing w:lineRule="auto"/>
      </w:pPr>
      <w:r>
        <w:rPr/>
        <w:t xml:space="preserve">SLA-meetmethodiek, bonus-malus en overmachtsdefinitie</w:t>
      </w:r>
    </w:p>
    <w:p>
      <w:pPr>
        <w:numPr>
          <w:ilvl w:val="0"/>
          <w:numId w:val="13"/>
        </w:numPr>
        <w:spacing w:lineRule="auto"/>
      </w:pPr>
      <w:r>
        <w:rPr/>
        <w:t xml:space="preserve">Vraag: Hoe worden W-06 en W-07 gemeten (meetmoment, sample, frequentie) en welke bonus-malusstructuur en drempelwaarden gelden? Wat is de definitie van overmacht (verkeer/storingen) en hoe verloopt bezwaar- en correctieprocedure?</w:t>
      </w:r>
    </w:p>
    <w:p>
      <w:pPr>
        <w:numPr>
          <w:ilvl w:val="0"/>
          <w:numId w:val="13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3"/>
        </w:numPr>
        <w:spacing w:lineRule="auto"/>
      </w:pPr>
      <w:r>
        <w:rPr/>
        <w:t xml:space="preserve">Impact: Operationele sturing, PDCA-ritme en financiële exposure</w:t>
      </w:r>
    </w:p>
    <w:p>
      <w:pPr>
        <w:numPr>
          <w:ilvl w:val="0"/>
          <w:numId w:val="13"/>
        </w:numPr>
        <w:spacing w:lineRule="auto"/>
      </w:pPr>
      <w:r>
        <w:rPr/>
        <w:t xml:space="preserve">Afhankelijkheden: Contractvoorwaarden en rapportageformat</w:t>
      </w:r>
    </w:p>
    <w:p>
      <w:pPr>
        <w:numPr>
          <w:ilvl w:val="0"/>
          <w:numId w:val="13"/>
        </w:numPr>
        <w:spacing w:lineRule="auto"/>
      </w:pPr>
      <w:r>
        <w:rPr/>
        <w:t xml:space="preserve">KPI-koppeling: W-06, W-07, W-08 plus “First-time-right levering”</w:t>
      </w:r>
    </w:p>
    <w:p>
      <w:pPr>
        <w:numPr>
          <w:ilvl w:val="0"/>
          <w:numId w:val="13"/>
        </w:numPr>
        <w:spacing w:lineRule="auto"/>
      </w:pPr>
      <w:r>
        <w:rPr/>
        <w:t xml:space="preserve">Risico: Discussies over KPI-uitkomsten en onterechte malus</w:t>
      </w:r>
    </w:p>
    <w:p>
      <w:pPr>
        <w:numPr>
          <w:ilvl w:val="0"/>
          <w:numId w:val="13"/>
        </w:numPr>
        <w:spacing w:lineRule="auto"/>
      </w:pPr>
      <w:r>
        <w:rPr/>
        <w:t xml:space="preserve">Bewijs/meetmethode: Gedeelde KPI-dataset en berekeningssheet; maandelijks reviewverslag met actiepunten</w:t>
      </w:r>
    </w:p>
    <w:p>
      <w:pPr>
        <w:numPr>
          <w:ilvl w:val="0"/>
          <w:numId w:val="14"/>
        </w:numPr>
        <w:spacing w:lineRule="auto"/>
      </w:pPr>
      <w:r>
        <w:rPr/>
        <w:t xml:space="preserve">Logistieke restricties en duurzaam vervoer</w:t>
      </w:r>
    </w:p>
    <w:p>
      <w:pPr>
        <w:numPr>
          <w:ilvl w:val="0"/>
          <w:numId w:val="15"/>
        </w:numPr>
        <w:spacing w:lineRule="auto"/>
      </w:pPr>
      <w:r>
        <w:rPr/>
        <w:t xml:space="preserve">Vraag: Zijn er per locatie eisen voor zero-emissie stadslogistiek, venstertijden buiten 11:00–13:30 (bijv. laad/los), maximale voertuigafmetingen, parkeer-/toegangsregels en veiligheidsinstructies? Is nacht- of pre-delivery toegestaan?</w:t>
      </w:r>
    </w:p>
    <w:p>
      <w:pPr>
        <w:numPr>
          <w:ilvl w:val="0"/>
          <w:numId w:val="15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5"/>
        </w:numPr>
        <w:spacing w:lineRule="auto"/>
      </w:pPr>
      <w:r>
        <w:rPr/>
        <w:t xml:space="preserve">Impact: Vlootplanning, CO2-doelen en leverbetrouwbaarheid W-06</w:t>
      </w:r>
    </w:p>
    <w:p>
      <w:pPr>
        <w:numPr>
          <w:ilvl w:val="0"/>
          <w:numId w:val="15"/>
        </w:numPr>
        <w:spacing w:lineRule="auto"/>
      </w:pPr>
      <w:r>
        <w:rPr/>
        <w:t xml:space="preserve">Afhankelijkheden: Locatiehandboeken en gemeentelijk mobiliteitsbeleid</w:t>
      </w:r>
    </w:p>
    <w:p>
      <w:pPr>
        <w:numPr>
          <w:ilvl w:val="0"/>
          <w:numId w:val="15"/>
        </w:numPr>
        <w:spacing w:lineRule="auto"/>
      </w:pPr>
      <w:r>
        <w:rPr/>
        <w:t xml:space="preserve">KPI-koppeling: “% leveringen ZES/elektrisch”, W-06</w:t>
      </w:r>
    </w:p>
    <w:p>
      <w:pPr>
        <w:numPr>
          <w:ilvl w:val="0"/>
          <w:numId w:val="15"/>
        </w:numPr>
        <w:spacing w:lineRule="auto"/>
      </w:pPr>
      <w:r>
        <w:rPr/>
        <w:t xml:space="preserve">Risico: Toegangsweigering of vertraging; emissienon-compliance</w:t>
      </w:r>
    </w:p>
    <w:p>
      <w:pPr>
        <w:numPr>
          <w:ilvl w:val="0"/>
          <w:numId w:val="15"/>
        </w:numPr>
        <w:spacing w:lineRule="auto"/>
      </w:pPr>
      <w:r>
        <w:rPr/>
        <w:t xml:space="preserve">Bewijs/meetmethode: Leveringslogs met kenteken/voertuigtype; CO2-rapportage WELL-to-WHEEL of TLV-methodiek</w:t>
      </w:r>
    </w:p>
    <w:p>
      <w:pPr>
        <w:numPr>
          <w:ilvl w:val="0"/>
          <w:numId w:val="16"/>
        </w:numPr>
        <w:spacing w:lineRule="auto"/>
      </w:pPr>
      <w:r>
        <w:rPr/>
        <w:t xml:space="preserve">Menu-eisen en prijsmodel evaluatie</w:t>
      </w:r>
    </w:p>
    <w:p>
      <w:pPr>
        <w:numPr>
          <w:ilvl w:val="0"/>
          <w:numId w:val="17"/>
        </w:numPr>
        <w:spacing w:lineRule="auto"/>
      </w:pPr>
      <w:r>
        <w:rPr/>
        <w:t xml:space="preserve">Vraag: Welke voedingsrichtlijnen gelden (portiegewicht, zout/suiker, Nutri-Score), minimumaandelen veg/vegan per week en rotatiesnelheid seizoensmenu’s? Wat is het prijsformat voor EMVI (per couvert, per item, mandje) en hoe vindt indexatie plaats gedurende 2026–2030?</w:t>
      </w:r>
    </w:p>
    <w:p>
      <w:pPr>
        <w:numPr>
          <w:ilvl w:val="0"/>
          <w:numId w:val="17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7"/>
        </w:numPr>
        <w:spacing w:lineRule="auto"/>
      </w:pPr>
      <w:r>
        <w:rPr/>
        <w:t xml:space="preserve">Impact: Receptuur, inkoop en prijsstelling EMVI</w:t>
      </w:r>
    </w:p>
    <w:p>
      <w:pPr>
        <w:numPr>
          <w:ilvl w:val="0"/>
          <w:numId w:val="17"/>
        </w:numPr>
        <w:spacing w:lineRule="auto"/>
      </w:pPr>
      <w:r>
        <w:rPr/>
        <w:t xml:space="preserve">Afhankelijkheden: EMVI-prijsmatrix en voedingskader</w:t>
      </w:r>
    </w:p>
    <w:p>
      <w:pPr>
        <w:numPr>
          <w:ilvl w:val="0"/>
          <w:numId w:val="17"/>
        </w:numPr>
        <w:spacing w:lineRule="auto"/>
      </w:pPr>
      <w:r>
        <w:rPr/>
        <w:t xml:space="preserve">KPI-koppeling: W-07 klanttevredenheid; “% menu’s veg/vegan”; “% seizoensgebonden”</w:t>
      </w:r>
    </w:p>
    <w:p>
      <w:pPr>
        <w:numPr>
          <w:ilvl w:val="0"/>
          <w:numId w:val="17"/>
        </w:numPr>
        <w:spacing w:lineRule="auto"/>
      </w:pPr>
      <w:r>
        <w:rPr/>
        <w:t xml:space="preserve">Risico: Misfit met verwachtingen; prijsafwijkingen over looptijd</w:t>
      </w:r>
    </w:p>
    <w:p>
      <w:pPr>
        <w:numPr>
          <w:ilvl w:val="0"/>
          <w:numId w:val="17"/>
        </w:numPr>
        <w:spacing w:lineRule="auto"/>
      </w:pPr>
      <w:r>
        <w:rPr/>
        <w:t xml:space="preserve">Bewijs/meetmethode: Weekmenu’s met nutri-analyse; prijsmatrix en indexatieregel (CPI/AGF-index)</w:t>
      </w:r>
    </w:p>
    <w:p>
      <w:pPr>
        <w:numPr>
          <w:ilvl w:val="0"/>
          <w:numId w:val="18"/>
        </w:numPr>
        <w:spacing w:lineRule="auto"/>
      </w:pPr>
      <w:r>
        <w:rPr/>
        <w:t xml:space="preserve">Transitie, pilots en acceptatiecriteria</w:t>
      </w:r>
    </w:p>
    <w:p>
      <w:pPr>
        <w:numPr>
          <w:ilvl w:val="0"/>
          <w:numId w:val="19"/>
        </w:numPr>
        <w:spacing w:lineRule="auto"/>
      </w:pPr>
      <w:r>
        <w:rPr/>
        <w:t xml:space="preserve">Vraag: Is een proefweek/pilot per locatie gewenst vóór Go-Live, met smaaktests en allergenen-audits? Welke acceptatiecriteria en stabilisatieperiode hanteert u en welke evaluatiemomenten (PDCA) worden verwacht?</w:t>
      </w:r>
    </w:p>
    <w:p>
      <w:pPr>
        <w:numPr>
          <w:ilvl w:val="0"/>
          <w:numId w:val="19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9"/>
        </w:numPr>
        <w:spacing w:lineRule="auto"/>
      </w:pPr>
      <w:r>
        <w:rPr/>
        <w:t xml:space="preserve">Impact: Implementatieplanning en risicoreductie W-06/W-08/W-07</w:t>
      </w:r>
    </w:p>
    <w:p>
      <w:pPr>
        <w:numPr>
          <w:ilvl w:val="0"/>
          <w:numId w:val="19"/>
        </w:numPr>
        <w:spacing w:lineRule="auto"/>
      </w:pPr>
      <w:r>
        <w:rPr/>
        <w:t xml:space="preserve">Afhankelijkheden: Locatieplanning en testprotocollen</w:t>
      </w:r>
    </w:p>
    <w:p>
      <w:pPr>
        <w:numPr>
          <w:ilvl w:val="0"/>
          <w:numId w:val="19"/>
        </w:numPr>
        <w:spacing w:lineRule="auto"/>
      </w:pPr>
      <w:r>
        <w:rPr/>
        <w:t xml:space="preserve">KPI-koppeling: “Pilot-succesratio ≥95%”, “Acceptatie op tijd ≥100%”</w:t>
      </w:r>
    </w:p>
    <w:p>
      <w:pPr>
        <w:numPr>
          <w:ilvl w:val="0"/>
          <w:numId w:val="19"/>
        </w:numPr>
        <w:spacing w:lineRule="auto"/>
      </w:pPr>
      <w:r>
        <w:rPr/>
        <w:t xml:space="preserve">Risico: Onvolledige uitrol of verstoringen in eerste weken</w:t>
      </w:r>
    </w:p>
    <w:p>
      <w:pPr>
        <w:numPr>
          <w:ilvl w:val="0"/>
          <w:numId w:val="19"/>
        </w:numPr>
        <w:spacing w:lineRule="auto"/>
      </w:pPr>
      <w:r>
        <w:rPr/>
        <w:t xml:space="preserve">Bewijs/meetmethode: Pilotrapport met KPI’s, bevindingen en verbeteracties</w:t>
      </w:r>
    </w:p>
    <w:p>
      <w:pPr>
        <w:numPr>
          <w:ilvl w:val="0"/>
          <w:numId w:val="20"/>
        </w:numPr>
        <w:spacing w:lineRule="auto"/>
      </w:pPr>
      <w:r>
        <w:rPr/>
        <w:t xml:space="preserve">Contractgovernance, audits en datatoegang</w:t>
      </w:r>
    </w:p>
    <w:p>
      <w:pPr>
        <w:numPr>
          <w:ilvl w:val="0"/>
          <w:numId w:val="21"/>
        </w:numPr>
        <w:spacing w:lineRule="auto"/>
      </w:pPr>
      <w:r>
        <w:rPr/>
        <w:t xml:space="preserve">Vraag: Wat is de frequentie van KPI-overleggen, wie zijn de mandaatdragers en welke auditrechten (aangekondigd/onaangekondigd) en datatoegang (raw data, API) verlangt u? Hoe wordt eigendom van data en recepten (IP) geregeld?</w:t>
      </w:r>
    </w:p>
    <w:p>
      <w:pPr>
        <w:numPr>
          <w:ilvl w:val="0"/>
          <w:numId w:val="21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21"/>
        </w:numPr>
        <w:spacing w:lineRule="auto"/>
      </w:pPr>
      <w:r>
        <w:rPr/>
        <w:t xml:space="preserve">Impact: Continu verbeteren (PDCA), transparantie en compliance</w:t>
      </w:r>
    </w:p>
    <w:p>
      <w:pPr>
        <w:numPr>
          <w:ilvl w:val="0"/>
          <w:numId w:val="21"/>
        </w:numPr>
        <w:spacing w:lineRule="auto"/>
      </w:pPr>
      <w:r>
        <w:rPr/>
        <w:t xml:space="preserve">Afhankelijkheden: Contractbepalingen en privacy/IP-kaders</w:t>
      </w:r>
    </w:p>
    <w:p>
      <w:pPr>
        <w:numPr>
          <w:ilvl w:val="0"/>
          <w:numId w:val="21"/>
        </w:numPr>
        <w:spacing w:lineRule="auto"/>
      </w:pPr>
      <w:r>
        <w:rPr/>
        <w:t xml:space="preserve">KPI-koppeling: “Tijdige KPI-rapportage 100%”, “Aantal verbeteracties per kwartaal ≥3”</w:t>
      </w:r>
    </w:p>
    <w:p>
      <w:pPr>
        <w:numPr>
          <w:ilvl w:val="0"/>
          <w:numId w:val="21"/>
        </w:numPr>
        <w:spacing w:lineRule="auto"/>
      </w:pPr>
      <w:r>
        <w:rPr/>
        <w:t xml:space="preserve">Risico: Onvoldoende sturing; discussie over datagebruik</w:t>
      </w:r>
    </w:p>
    <w:p>
      <w:pPr>
        <w:numPr>
          <w:ilvl w:val="0"/>
          <w:numId w:val="21"/>
        </w:numPr>
        <w:spacing w:lineRule="auto"/>
      </w:pPr>
      <w:r>
        <w:rPr/>
        <w:t xml:space="preserve">Bewijs/meetmethode: Governancekalender, RACI, auditverslagen en data-delivery SLA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2"/>
        </w:numPr>
        <w:spacing w:lineRule="auto"/>
      </w:pPr>
      <w:r>
        <w:rPr/>
        <w:t xml:space="preserve">Locatielijst met adressen, couverts (gemiddeld/piek), gewenste levertijdstippen en toegangs-/loscondities.</w:t>
      </w:r>
    </w:p>
    <w:p>
      <w:pPr>
        <w:numPr>
          <w:ilvl w:val="0"/>
          <w:numId w:val="22"/>
        </w:numPr>
        <w:spacing w:lineRule="auto"/>
      </w:pPr>
      <w:r>
        <w:rPr/>
        <w:t xml:space="preserve">Definitie en rekenmethode voor “lokaal/regionaal” en biologisch aandeel; audit-/steekproefkader.</w:t>
      </w:r>
    </w:p>
    <w:p>
      <w:pPr>
        <w:numPr>
          <w:ilvl w:val="0"/>
          <w:numId w:val="22"/>
        </w:numPr>
        <w:spacing w:lineRule="auto"/>
      </w:pPr>
      <w:r>
        <w:rPr/>
        <w:t xml:space="preserve">Zero-waste beleid: scope foodwaste, meetmethode, retourlogistiek en afwasfaciliteiten per locatie.</w:t>
      </w:r>
    </w:p>
    <w:p>
      <w:pPr>
        <w:numPr>
          <w:ilvl w:val="0"/>
          <w:numId w:val="22"/>
        </w:numPr>
        <w:spacing w:lineRule="auto"/>
      </w:pPr>
      <w:r>
        <w:rPr/>
        <w:t xml:space="preserve">Allergenen- en dieetprofiel datamodel (CSV/JSON velddefinities), etiketteringseisen en incidentprotocol.</w:t>
      </w:r>
    </w:p>
    <w:p>
      <w:pPr>
        <w:numPr>
          <w:ilvl w:val="0"/>
          <w:numId w:val="22"/>
        </w:numPr>
        <w:spacing w:lineRule="auto"/>
      </w:pPr>
      <w:r>
        <w:rPr/>
        <w:t xml:space="preserve">IT-eisen voor het bestelsysteem: SSO, API-specificaties, WCAG/AVG-eisen, cutoff-/annuleringsregels, dataretentie.</w:t>
      </w:r>
    </w:p>
    <w:p>
      <w:pPr>
        <w:numPr>
          <w:ilvl w:val="0"/>
          <w:numId w:val="22"/>
        </w:numPr>
        <w:spacing w:lineRule="auto"/>
      </w:pPr>
      <w:r>
        <w:rPr/>
        <w:t xml:space="preserve">SLA-meetmethodiek, rapportageformat, bonus-malus en overmachtsdefinitie.</w:t>
      </w:r>
    </w:p>
    <w:p>
      <w:pPr>
        <w:numPr>
          <w:ilvl w:val="0"/>
          <w:numId w:val="22"/>
        </w:numPr>
        <w:spacing w:lineRule="auto"/>
      </w:pPr>
      <w:r>
        <w:rPr/>
        <w:t xml:space="preserve">Logistieke restricties per locatie incl. ZES-eisen, voertuiglimieten en venstertijden voor laad/los.</w:t>
      </w:r>
    </w:p>
    <w:p>
      <w:pPr>
        <w:numPr>
          <w:ilvl w:val="0"/>
          <w:numId w:val="22"/>
        </w:numPr>
        <w:spacing w:lineRule="auto"/>
      </w:pPr>
      <w:r>
        <w:rPr/>
        <w:t xml:space="preserve">Voedingskader, menu-richtlijnen, EMVI-prijsmatrix en indexatieregel 2026–2030.</w:t>
      </w:r>
    </w:p>
    <w:p>
      <w:pPr>
        <w:numPr>
          <w:ilvl w:val="0"/>
          <w:numId w:val="22"/>
        </w:numPr>
        <w:spacing w:lineRule="auto"/>
      </w:pPr>
      <w:r>
        <w:rPr/>
        <w:t xml:space="preserve">Transitie- en pilotverwachtingen met acceptatiecriteria en PDCA-ritme.</w:t>
      </w:r>
    </w:p>
    <w:p>
      <w:pPr>
        <w:numPr>
          <w:ilvl w:val="0"/>
          <w:numId w:val="22"/>
        </w:numPr>
        <w:spacing w:lineRule="auto"/>
      </w:pPr>
      <w:r>
        <w:rPr/>
        <w:t xml:space="preserve">Governance- en auditkader: overlegfrequentie, datatoegang (incl. raw data/API), IP- en privacyafspraken.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