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Planning (ASCII Gantt + Toelichting)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Planning — Raamovereenkomst Duurzame Catering en Bedrijfslunch 2026–2030 (GEM-AMS-CATER-2026-014)</w:t>
      </w:r>
    </w:p>
    <w:p>
      <w:pPr>
        <w:spacing w:lineRule="auto"/>
      </w:pPr>
      <w:r>
        <w:rPr/>
        <w:t xml:space="preserve">ASCII-Gantt (Q-schaal; ▲ mijlpaal, ◆ gate review) Tijdlijn: |2025-Q4|2026-Q1|2026-Q2|2026-Q3|2026-Q4|2027|2028|2029|2030| Tender &amp; EMVI indienen         : ====                                                  (12/2025–20/01/2026) Beoordeling &amp; Gunning          :   ==                                                  (21/01–20/02/2026) Contracteren                    :     = ▲M-Gunning                                     (21/02–28/02/2026) ◆GR0 Go mobilisatie            :      ◆ (28/02/2026) Mobilisatie (8 weken)          :       ========                                        (02/03–26/04/2026)</w:t>
      </w:r>
    </w:p>
    <w:p>
      <w:pPr>
        <w:numPr>
          <w:ilvl w:val="0"/>
          <w:numId w:val="1"/>
        </w:numPr>
        <w:spacing w:lineRule="auto"/>
      </w:pPr>
      <w:r>
        <w:rPr/>
        <w:t xml:space="preserve">Governance/SLA              :       ====</w:t>
      </w:r>
    </w:p>
    <w:p>
      <w:pPr>
        <w:numPr>
          <w:ilvl w:val="0"/>
          <w:numId w:val="1"/>
        </w:numPr>
        <w:spacing w:lineRule="auto"/>
      </w:pPr>
      <w:r>
        <w:rPr/>
        <w:t xml:space="preserve">Sourcing 30% lokaal/25% bio :       ========</w:t>
      </w:r>
    </w:p>
    <w:p>
      <w:pPr>
        <w:numPr>
          <w:ilvl w:val="0"/>
          <w:numId w:val="1"/>
        </w:numPr>
        <w:spacing w:lineRule="auto"/>
      </w:pPr>
      <w:r>
        <w:rPr/>
        <w:t xml:space="preserve">Bestelsysteem + allergenen  :       ======== ▲M-SysAcc (12/04/2026)</w:t>
      </w:r>
    </w:p>
    <w:p>
      <w:pPr>
        <w:numPr>
          <w:ilvl w:val="0"/>
          <w:numId w:val="1"/>
        </w:numPr>
        <w:spacing w:lineRule="auto"/>
      </w:pPr>
      <w:r>
        <w:rPr/>
        <w:t xml:space="preserve">Logistiek &amp; zero-waste      :       ======== ▲M-ZeroWaste (19/04/2026)</w:t>
      </w:r>
    </w:p>
    <w:p>
      <w:pPr>
        <w:numPr>
          <w:ilvl w:val="0"/>
          <w:numId w:val="1"/>
        </w:numPr>
        <w:spacing w:lineRule="auto"/>
      </w:pPr>
      <w:r>
        <w:rPr/>
        <w:t xml:space="preserve">Training HACCP/1169/2011    :       ===== ▲M-AllergenVal (22/04/2026) Pilot (2 weken, 2 locaties)    :               == ▲M-PilotStart (27/04/2026)          (27/04–10/05/2026) ◆GR1 Pilot exit                 :                 ◆ (11/05/2026) Opschaling alle locaties        :                  === ▲M-GoLive (12/05/2026)         (12/05–31/05/2026) ◆GR2 Opschalings-exit           :                     ◆ (31/05/2026) Operationeel Jaar 1             :                      ========▲M-Klant≥8,2 (31/08)    (06/2026–12/2026)</w:t>
      </w:r>
    </w:p>
    <w:p>
      <w:pPr>
        <w:numPr>
          <w:ilvl w:val="0"/>
          <w:numId w:val="1"/>
        </w:numPr>
        <w:spacing w:lineRule="auto"/>
      </w:pPr>
      <w:r>
        <w:rPr/>
        <w:t xml:space="preserve">PDCA-maandcycli             :                      ========</w:t>
      </w:r>
    </w:p>
    <w:p>
      <w:pPr>
        <w:numPr>
          <w:ilvl w:val="0"/>
          <w:numId w:val="1"/>
        </w:numPr>
        <w:spacing w:lineRule="auto"/>
      </w:pPr>
      <w:r>
        <w:rPr/>
        <w:t xml:space="preserve">QBR/jaarreview              :                             ▲M-Jaarreview (31/01/2027) Operationeel Jaar 2             :                              ========= ▲◆GR3 (jaarlijks 31/01) Operationeel Jaar 3             :                                        ========= ▲◆GR3 ◆GR4 Midterm                    :                                               ◆ (30/06/2028) Operationeel Jaar 4             :                                                 ========= ▲◆GR3 Operationeel Jaar 5             :                                                           =========</w:t>
      </w:r>
    </w:p>
    <w:p>
      <w:pPr>
        <w:numPr>
          <w:ilvl w:val="0"/>
          <w:numId w:val="1"/>
        </w:numPr>
        <w:spacing w:lineRule="auto"/>
      </w:pPr>
      <w:r>
        <w:rPr/>
        <w:t xml:space="preserve">Exit/Verlengingskeuze       :                                                                     ▲◆GR5 (30/09/2030) Doelwaarden borgen              :                      ======== ========= ========= =========</w:t>
      </w:r>
    </w:p>
    <w:p>
      <w:pPr>
        <w:numPr>
          <w:ilvl w:val="0"/>
          <w:numId w:val="1"/>
        </w:numPr>
        <w:spacing w:lineRule="auto"/>
      </w:pPr>
      <w:r>
        <w:rPr/>
        <w:t xml:space="preserve">Foodwaste &lt;3%               :                           ▲M-&lt;3% stabiel (30/09/2026)</w:t>
      </w:r>
    </w:p>
    <w:p>
      <w:pPr>
        <w:numPr>
          <w:ilvl w:val="0"/>
          <w:numId w:val="1"/>
        </w:numPr>
        <w:spacing w:lineRule="auto"/>
      </w:pPr>
      <w:r>
        <w:rPr/>
        <w:t xml:space="preserve">≥98% op tijd                :                      ▲M-OTIF≥98% (30/06/2026) → continue</w:t>
      </w:r>
    </w:p>
    <w:p>
      <w:pPr>
        <w:numPr>
          <w:ilvl w:val="0"/>
          <w:numId w:val="1"/>
        </w:numPr>
        <w:spacing w:lineRule="auto"/>
      </w:pPr>
      <w:r>
        <w:rPr/>
        <w:t xml:space="preserve">25% bio / 30% lokaal        :                      ▲M-Bio/Lokaal-baseline (30/06/2026) → continue</w:t>
      </w:r>
    </w:p>
    <w:p>
      <w:pPr>
        <w:spacing w:lineRule="auto"/>
      </w:pPr>
      <w:r>
        <w:rPr/>
        <w:t xml:space="preserve">Toelichting (SMART, PDCA, W-xx ↔ KPI ↔ Risico ↔ Bewijs) Doel en scope</w:t>
      </w:r>
    </w:p>
    <w:p>
      <w:pPr>
        <w:numPr>
          <w:ilvl w:val="0"/>
          <w:numId w:val="2"/>
        </w:numPr>
        <w:spacing w:lineRule="auto"/>
      </w:pPr>
      <w:r>
        <w:rPr/>
        <w:t xml:space="preserve">Doel: per 12/05/2026 duurzame bedrijfslunch leveren voor alle aangewezen gemeentelijke locaties binnen vensters 11:00–13:30, met ≥500 couverts/dag, 25% biologisch, 30% lokaal/regionaal, foodwaste &lt;3%, 0 allergenenfouten, herbruikbare verpakkingen, digitale bestellingen met dieetprofielen en allergenen conform EU 1169/2011.</w:t>
      </w:r>
    </w:p>
    <w:p>
      <w:pPr>
        <w:numPr>
          <w:ilvl w:val="0"/>
          <w:numId w:val="2"/>
        </w:numPr>
        <w:spacing w:lineRule="auto"/>
      </w:pPr>
      <w:r>
        <w:rPr/>
        <w:t xml:space="preserve">Resultaten: Plan van Aanpak (08/03/2026), Risicodossier (12/03/2026), KPI-baseline en dashboards (15/03/2026), systeemacceptatie (12/04/2026), zero-waste gereed (19/04/2026), allergenenvalidatie (22/04/2026), pilot (27/04–10/05/2026), Go-Live (12/05/2026).</w:t>
      </w:r>
    </w:p>
    <w:p>
      <w:pPr>
        <w:spacing w:lineRule="auto"/>
      </w:pPr>
      <w:r>
        <w:rPr/>
        <w:t xml:space="preserve">Werkpakketten (W-xx), koppeling KPI, risico en bewijs</w:t>
      </w:r>
    </w:p>
    <w:p>
      <w:pPr>
        <w:numPr>
          <w:ilvl w:val="0"/>
          <w:numId w:val="3"/>
        </w:numPr>
        <w:spacing w:lineRule="auto"/>
      </w:pPr>
      <w:r>
        <w:rPr/>
        <w:t xml:space="preserve">W-01 Governance &amp; SLA-baseline (02/03–08/03): KPI-1 Op tijd ≥98%, KPI-2 Tevredenheid ≥8,2, KPI-3 0 allergenen. Risico R2 (logistiek), R10 (beleving). Bewijs: SLA-matrix, QBR-notulen, escalatieprocedure.</w:t>
      </w:r>
    </w:p>
    <w:p>
      <w:pPr>
        <w:numPr>
          <w:ilvl w:val="0"/>
          <w:numId w:val="3"/>
        </w:numPr>
        <w:spacing w:lineRule="auto"/>
      </w:pPr>
      <w:r>
        <w:rPr/>
        <w:t xml:space="preserve">W-02 Sourcing lokaal/bio (02/03–26/04): KPI-5 ≥25% bio, KPI-6 ≥30% lokaal. Risico R4 (leveranciersfalen), R9 (seizoensschaarste). Bewijs: SKAL-certificaten, herkomstverklaringen, contracten Fresh&amp;Local Coöp.</w:t>
      </w:r>
    </w:p>
    <w:p>
      <w:pPr>
        <w:numPr>
          <w:ilvl w:val="0"/>
          <w:numId w:val="3"/>
        </w:numPr>
        <w:spacing w:lineRule="auto"/>
      </w:pPr>
      <w:r>
        <w:rPr/>
        <w:t xml:space="preserve">W-03 Digitaal bestelsysteem + dieetprofielen (02/03–12/04): KPI-3 0 allergenen, KPI-9 uptime ≥99,5%. Risico R5 (IT-storing). Bewijs: systeem-acceptatietest (SAT), datalogs allergenen, pentest-rapport.</w:t>
      </w:r>
    </w:p>
    <w:p>
      <w:pPr>
        <w:numPr>
          <w:ilvl w:val="0"/>
          <w:numId w:val="3"/>
        </w:numPr>
        <w:spacing w:lineRule="auto"/>
      </w:pPr>
      <w:r>
        <w:rPr/>
        <w:t xml:space="preserve">W-04 HACCP/1169/2011 training (04/03–10/04): KPI-3 0 allergenen. Risico R1 (menselijke fout). Bewijs: trainingsregister, toetsresultaten, werkinstructies.</w:t>
      </w:r>
    </w:p>
    <w:p>
      <w:pPr>
        <w:numPr>
          <w:ilvl w:val="0"/>
          <w:numId w:val="3"/>
        </w:numPr>
        <w:spacing w:lineRule="auto"/>
      </w:pPr>
      <w:r>
        <w:rPr/>
        <w:t xml:space="preserve">W-05 Logistiek &amp; vensters (04/03–26/04): KPI-1 ≥98% op tijd, KPI-8 ≥500 couverts/dag. Risico R2 (files/vensters), R8 (dock-conflicten). Bewijs: routeplannen, GPS-OTIF-rapportages.</w:t>
      </w:r>
    </w:p>
    <w:p>
      <w:pPr>
        <w:numPr>
          <w:ilvl w:val="0"/>
          <w:numId w:val="3"/>
        </w:numPr>
        <w:spacing w:lineRule="auto"/>
      </w:pPr>
      <w:r>
        <w:rPr/>
        <w:t xml:space="preserve">W-06 Zero-waste implementatie (05/03–19/04): KPI-7 100% herbruikbare verpakking. Risico R7 (materiaaltekort). Bewijs: inkoopbonnen, retourpercentages per locatie.</w:t>
      </w:r>
    </w:p>
    <w:p>
      <w:pPr>
        <w:numPr>
          <w:ilvl w:val="0"/>
          <w:numId w:val="3"/>
        </w:numPr>
        <w:spacing w:lineRule="auto"/>
      </w:pPr>
      <w:r>
        <w:rPr/>
        <w:t xml:space="preserve">W-07 Foodwaste-reductieproces (Plan-Gram) (06/03–30/09, daarna continu): KPI-4 &lt;3%. Risico R3 (overproductie). Bewijs: weeglogs, dashboard waste%, verbeteracties.</w:t>
      </w:r>
    </w:p>
    <w:p>
      <w:pPr>
        <w:numPr>
          <w:ilvl w:val="0"/>
          <w:numId w:val="3"/>
        </w:numPr>
        <w:spacing w:lineRule="auto"/>
      </w:pPr>
      <w:r>
        <w:rPr/>
        <w:t xml:space="preserve">W-08 Pilot 2 locaties (27/04–10/05): KPI-1,2,3 real-life validatie. Risico: R1–R3. Bewijs: pilot-rapport, klantfeedback, OTIF-overzicht.</w:t>
      </w:r>
    </w:p>
    <w:p>
      <w:pPr>
        <w:numPr>
          <w:ilvl w:val="0"/>
          <w:numId w:val="3"/>
        </w:numPr>
        <w:spacing w:lineRule="auto"/>
      </w:pPr>
      <w:r>
        <w:rPr/>
        <w:t xml:space="preserve">W-09 Opschaling &amp; Go-Live (12/05–31/05): KPI-1 steady ≥98%. Risico R2. Bewijs: cutover-plan, hypercare-logging.</w:t>
      </w:r>
    </w:p>
    <w:p>
      <w:pPr>
        <w:numPr>
          <w:ilvl w:val="0"/>
          <w:numId w:val="3"/>
        </w:numPr>
        <w:spacing w:lineRule="auto"/>
      </w:pPr>
      <w:r>
        <w:rPr/>
        <w:t xml:space="preserve">W-10 Continue verbetering 2026–2030: alle KPI’s. Risico: trendverslechtering. Bewijs: maandrapporten, QBR’s, jaarreviews, auditrapporten.</w:t>
      </w:r>
    </w:p>
    <w:p>
      <w:pPr>
        <w:spacing w:lineRule="auto"/>
      </w:pPr>
      <w:r>
        <w:rPr/>
        <w:t xml:space="preserve">SLA/KPI-sturing en meetwijze</w:t>
      </w:r>
    </w:p>
    <w:p>
      <w:pPr>
        <w:numPr>
          <w:ilvl w:val="0"/>
          <w:numId w:val="4"/>
        </w:numPr>
        <w:spacing w:lineRule="auto"/>
      </w:pPr>
      <w:r>
        <w:rPr/>
        <w:t xml:space="preserve">KPI-1 Op tijd ≥98%: meten per levering met GPS/scan bij ontvangst; rapportage wekelijks; drempel alert bij &lt;98,5% lopend gemiddelde; corrigerende maatregelen binnen 5 werkdagen.</w:t>
      </w:r>
    </w:p>
    <w:p>
      <w:pPr>
        <w:numPr>
          <w:ilvl w:val="0"/>
          <w:numId w:val="4"/>
        </w:numPr>
        <w:spacing w:lineRule="auto"/>
      </w:pPr>
      <w:r>
        <w:rPr/>
        <w:t xml:space="preserve">KPI-2 Klanttevredenheid ≥8,2: maandelijkse pulse-survey (n≥100), kwartaal NPS; verbeteracties binnen 10 werkdagen bij een score &lt;8,2.</w:t>
      </w:r>
    </w:p>
    <w:p>
      <w:pPr>
        <w:numPr>
          <w:ilvl w:val="0"/>
          <w:numId w:val="4"/>
        </w:numPr>
        <w:spacing w:lineRule="auto"/>
      </w:pPr>
      <w:r>
        <w:rPr/>
        <w:t xml:space="preserve">KPI-3 Allergenen-fouten = 0: elke uitgifte 2-persoonscontrole + digitale check; afwijking = incidentstop, root cause en hertraining binnen 48 uur.</w:t>
      </w:r>
    </w:p>
    <w:p>
      <w:pPr>
        <w:numPr>
          <w:ilvl w:val="0"/>
          <w:numId w:val="4"/>
        </w:numPr>
        <w:spacing w:lineRule="auto"/>
      </w:pPr>
      <w:r>
        <w:rPr/>
        <w:t xml:space="preserve">KPI-4 Foodwaste &lt;3%: dagelijks wegen voor/na uitgifte; maandrapport; A3-verbeterkaarten bij &gt;2,8%.</w:t>
      </w:r>
    </w:p>
    <w:p>
      <w:pPr>
        <w:numPr>
          <w:ilvl w:val="0"/>
          <w:numId w:val="4"/>
        </w:numPr>
        <w:spacing w:lineRule="auto"/>
      </w:pPr>
      <w:r>
        <w:rPr/>
        <w:t xml:space="preserve">KPI-5 25% bio en KPI-6 30% lokaal: automatische spend-analyse per maand; afwijking &gt;1%punt → herallocatie leveranciers binnen 20 werkdagen.</w:t>
      </w:r>
    </w:p>
    <w:p>
      <w:pPr>
        <w:numPr>
          <w:ilvl w:val="0"/>
          <w:numId w:val="4"/>
        </w:numPr>
        <w:spacing w:lineRule="auto"/>
      </w:pPr>
      <w:r>
        <w:rPr/>
        <w:t xml:space="preserve">KPI-7 Zero-waste: retourgraad herbruikbare verpakkingen ≥95% per maand; bij &lt;95% aanvullende inzamelmaatregelen.</w:t>
      </w:r>
    </w:p>
    <w:p>
      <w:pPr>
        <w:numPr>
          <w:ilvl w:val="0"/>
          <w:numId w:val="4"/>
        </w:numPr>
        <w:spacing w:lineRule="auto"/>
      </w:pPr>
      <w:r>
        <w:rPr/>
        <w:t xml:space="preserve">KPI-8 Capaciteit ≥500 couverts/dag: capaciteitsplan en bezetting; stress-test per kwartaal.</w:t>
      </w:r>
    </w:p>
    <w:p>
      <w:pPr>
        <w:numPr>
          <w:ilvl w:val="0"/>
          <w:numId w:val="4"/>
        </w:numPr>
        <w:spacing w:lineRule="auto"/>
      </w:pPr>
      <w:r>
        <w:rPr/>
        <w:t xml:space="preserve">KPI-9 Systeem-uptime ≥99,5%: monitoring 24/7; RTO 1 uur, RPO 15 min.</w:t>
      </w:r>
    </w:p>
    <w:p>
      <w:pPr>
        <w:spacing w:lineRule="auto"/>
      </w:pPr>
      <w:r>
        <w:rPr/>
        <w:t xml:space="preserve">Operationele PDCA-cadans</w:t>
      </w:r>
    </w:p>
    <w:p>
      <w:pPr>
        <w:numPr>
          <w:ilvl w:val="0"/>
          <w:numId w:val="5"/>
        </w:numPr>
        <w:spacing w:lineRule="auto"/>
      </w:pPr>
      <w:r>
        <w:rPr/>
        <w:t xml:space="preserve">Plan: menuplanning per seizoen met 8-weeks rotatie; vraagvoorspelling T-7; volumeborging T-2; order cut-off T-1 16:00 voor ingrediënten en T-0 09:30 voor dieetwijzigingen.</w:t>
      </w:r>
    </w:p>
    <w:p>
      <w:pPr>
        <w:numPr>
          <w:ilvl w:val="0"/>
          <w:numId w:val="5"/>
        </w:numPr>
        <w:spacing w:lineRule="auto"/>
      </w:pPr>
      <w:r>
        <w:rPr/>
        <w:t xml:space="preserve">Do: productie volgens HACCP, batch-etikettering met allergenen, herbruikbare verpakking, ritplanning voor vensters 11:00–13:30.</w:t>
      </w:r>
    </w:p>
    <w:p>
      <w:pPr>
        <w:numPr>
          <w:ilvl w:val="0"/>
          <w:numId w:val="5"/>
        </w:numPr>
        <w:spacing w:lineRule="auto"/>
      </w:pPr>
      <w:r>
        <w:rPr/>
        <w:t xml:space="preserve">Check: dagelijkse OTIF en allergenen-audits; weekreview waste%; maandelijkse KPI-review; kwartaal QBR met Gemeente Amsterdam (◆GR3).</w:t>
      </w:r>
    </w:p>
    <w:p>
      <w:pPr>
        <w:numPr>
          <w:ilvl w:val="0"/>
          <w:numId w:val="5"/>
        </w:numPr>
        <w:spacing w:lineRule="auto"/>
      </w:pPr>
      <w:r>
        <w:rPr/>
        <w:t xml:space="preserve">Act: root cause (5x Waarom), standaardwerk update, hertraining, leveranciersherallocatie; innovatie-sprints per halfjaar gericht op CO2, smaak en beleving.</w:t>
      </w:r>
    </w:p>
    <w:p>
      <w:pPr>
        <w:spacing w:lineRule="auto"/>
      </w:pPr>
      <w:r>
        <w:rPr/>
        <w:t xml:space="preserve">Mijlpalen en Gate Reviews (besluitmomenten)</w:t>
      </w:r>
    </w:p>
    <w:p>
      <w:pPr>
        <w:numPr>
          <w:ilvl w:val="0"/>
          <w:numId w:val="6"/>
        </w:numPr>
        <w:spacing w:lineRule="auto"/>
      </w:pPr>
      <w:r>
        <w:rPr/>
        <w:t xml:space="preserve">M-Gunning (28/02/2026), ◆GR0 Go mobilisatie.</w:t>
      </w:r>
    </w:p>
    <w:p>
      <w:pPr>
        <w:numPr>
          <w:ilvl w:val="0"/>
          <w:numId w:val="6"/>
        </w:numPr>
        <w:spacing w:lineRule="auto"/>
      </w:pPr>
      <w:r>
        <w:rPr/>
        <w:t xml:space="preserve">M-Plan van Aanpak (08/03/2026), M-Risicodossier (12/03/2026), M-KPI-baseline (15/03/2026).</w:t>
      </w:r>
    </w:p>
    <w:p>
      <w:pPr>
        <w:numPr>
          <w:ilvl w:val="0"/>
          <w:numId w:val="6"/>
        </w:numPr>
        <w:spacing w:lineRule="auto"/>
      </w:pPr>
      <w:r>
        <w:rPr/>
        <w:t xml:space="preserve">M-SysAcc (12/04/2026), M-ZeroWaste (19/04/2026), M-AllergenVal (22/04/2026).</w:t>
      </w:r>
    </w:p>
    <w:p>
      <w:pPr>
        <w:numPr>
          <w:ilvl w:val="0"/>
          <w:numId w:val="6"/>
        </w:numPr>
        <w:spacing w:lineRule="auto"/>
      </w:pPr>
      <w:r>
        <w:rPr/>
        <w:t xml:space="preserve">M-PilotStart (27/04/2026), ◆GR1 Pilot exit (11/05/2026), M-GoLive (12/05/2026), ◆GR2 Opschalings-exit (31/05/2026).</w:t>
      </w:r>
    </w:p>
    <w:p>
      <w:pPr>
        <w:numPr>
          <w:ilvl w:val="0"/>
          <w:numId w:val="6"/>
        </w:numPr>
        <w:spacing w:lineRule="auto"/>
      </w:pPr>
      <w:r>
        <w:rPr/>
        <w:t xml:space="preserve">M-OTIF≥98% (30/06/2026), M-Klant≥8,2 (31/08/2026), M-&lt;3% waste stabiel (30/09/2026).</w:t>
      </w:r>
    </w:p>
    <w:p>
      <w:pPr>
        <w:numPr>
          <w:ilvl w:val="0"/>
          <w:numId w:val="6"/>
        </w:numPr>
        <w:spacing w:lineRule="auto"/>
      </w:pPr>
      <w:r>
        <w:rPr/>
        <w:t xml:space="preserve">◆GR3 Jaarreview jaarlijks (31/01/2027–2030), ◆GR4 Midterm (30/06/2028), ◆GR5 Exit/Verlenging (30/09/2030).</w:t>
      </w:r>
    </w:p>
    <w:p>
      <w:pPr>
        <w:spacing w:lineRule="auto"/>
      </w:pPr>
      <w:r>
        <w:rPr/>
        <w:t xml:space="preserve">Risico-overzicht (selectie) en 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R1 Allergenenfout: dubbele controle, digitale blokkade bij mismatch; drills per kwartaal.</w:t>
      </w:r>
    </w:p>
    <w:p>
      <w:pPr>
        <w:numPr>
          <w:ilvl w:val="0"/>
          <w:numId w:val="7"/>
        </w:numPr>
        <w:spacing w:lineRule="auto"/>
      </w:pPr>
      <w:r>
        <w:rPr/>
        <w:t xml:space="preserve">R2 Te late levering: buffer 10 min per stop, alternatieve routes, voorraadsatelliet; OTIF-alerting.</w:t>
      </w:r>
    </w:p>
    <w:p>
      <w:pPr>
        <w:numPr>
          <w:ilvl w:val="0"/>
          <w:numId w:val="7"/>
        </w:numPr>
        <w:spacing w:lineRule="auto"/>
      </w:pPr>
      <w:r>
        <w:rPr/>
        <w:t xml:space="preserve">R3 Waste &gt;3%: dynamische portiegrootte, demand sensing, donatieprotocol.</w:t>
      </w:r>
    </w:p>
    <w:p>
      <w:pPr>
        <w:numPr>
          <w:ilvl w:val="0"/>
          <w:numId w:val="7"/>
        </w:numPr>
        <w:spacing w:lineRule="auto"/>
      </w:pPr>
      <w:r>
        <w:rPr/>
        <w:t xml:space="preserve">R4 Onvoldoende bio/lokaal: dual sourcing, seizoensmenu, contractuele boetes bij leveranciers.</w:t>
      </w:r>
    </w:p>
    <w:p>
      <w:pPr>
        <w:numPr>
          <w:ilvl w:val="0"/>
          <w:numId w:val="7"/>
        </w:numPr>
        <w:spacing w:lineRule="auto"/>
      </w:pPr>
      <w:r>
        <w:rPr/>
        <w:t xml:space="preserve">R5 IT-storing: active-active hosting, failover tests per kwartaal.</w:t>
      </w:r>
    </w:p>
    <w:p>
      <w:pPr>
        <w:numPr>
          <w:ilvl w:val="0"/>
          <w:numId w:val="7"/>
        </w:numPr>
        <w:spacing w:lineRule="auto"/>
      </w:pPr>
      <w:r>
        <w:rPr/>
        <w:t xml:space="preserve">R7 Tekort herbruikbare verpakkingen: veiligheidsvoorraad 4 weken, wascapaciteit 120% piek.</w:t>
      </w:r>
    </w:p>
    <w:p>
      <w:pPr>
        <w:spacing w:lineRule="auto"/>
      </w:pPr>
      <w:r>
        <w:rPr/>
        <w:t xml:space="preserve">Kwaliteits- en compliance-basis</w:t>
      </w:r>
    </w:p>
    <w:p>
      <w:pPr>
        <w:numPr>
          <w:ilvl w:val="0"/>
          <w:numId w:val="8"/>
        </w:numPr>
        <w:spacing w:lineRule="auto"/>
      </w:pPr>
      <w:r>
        <w:rPr/>
        <w:t xml:space="preserve">KO geborgd: ISO 22000 en HACCP aantoonbaar en geldig; certificaten beschikbaar. Allergenenregistratie conform EU 1169/2011 via menu-engine. Levercapaciteit ≥500 couverts/dag via productie- en logistiekplan.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9"/>
        </w:numPr>
        <w:spacing w:lineRule="auto"/>
      </w:pPr>
      <w:r>
        <w:rPr/>
        <w:t xml:space="preserve">Overzicht en adressen van alle locaties incl. laad/losrestricties en contactpersonen.</w:t>
      </w:r>
    </w:p>
    <w:p>
      <w:pPr>
        <w:numPr>
          <w:ilvl w:val="0"/>
          <w:numId w:val="9"/>
        </w:numPr>
        <w:spacing w:lineRule="auto"/>
      </w:pPr>
      <w:r>
        <w:rPr/>
        <w:t xml:space="preserve">Dagelijkse volumes per locatie (gemiddeld en pieken), dieetprofielverdeling.</w:t>
      </w:r>
    </w:p>
    <w:p>
      <w:pPr>
        <w:numPr>
          <w:ilvl w:val="0"/>
          <w:numId w:val="9"/>
        </w:numPr>
        <w:spacing w:lineRule="auto"/>
      </w:pPr>
      <w:r>
        <w:rPr/>
        <w:t xml:space="preserve">Toegangstijden per locatie en eventuele beveiligings-/ID-eisen.</w:t>
      </w:r>
    </w:p>
    <w:p>
      <w:pPr>
        <w:numPr>
          <w:ilvl w:val="0"/>
          <w:numId w:val="9"/>
        </w:numPr>
        <w:spacing w:lineRule="auto"/>
      </w:pPr>
      <w:r>
        <w:rPr/>
        <w:t xml:space="preserve">Verplichte formulieren voor leveranciersregistratie en ICT-koppelingen (SSO/API).</w:t>
      </w:r>
    </w:p>
    <w:p>
      <w:pPr>
        <w:numPr>
          <w:ilvl w:val="0"/>
          <w:numId w:val="9"/>
        </w:numPr>
        <w:spacing w:lineRule="auto"/>
      </w:pPr>
      <w:r>
        <w:rPr/>
        <w:t xml:space="preserve">Beleid m.b.t. donatie/reststromen en preferente regionale leveranciers (indien van toepassing).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(ASCII Gantt + Toelichting)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