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7" w:type="default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 — Caternext B.V. (GEM-AMS-CATER-2026-014)</w:t>
      </w:r>
    </w:p>
    <w:p>
      <w:pPr>
        <w:spacing w:lineRule="auto"/>
      </w:pPr>
      <w:r>
        <w:rPr/>
        <w:t xml:space="preserve">Definitie W-codes (voor kruisverbanden):</w:t>
      </w:r>
    </w:p>
    <w:p>
      <w:pPr>
        <w:numPr>
          <w:ilvl w:val="0"/>
          <w:numId w:val="1"/>
        </w:numPr>
        <w:spacing w:lineRule="auto"/>
      </w:pPr>
      <w:r>
        <w:rPr/>
        <w:t xml:space="preserve">W-01 Allergenenregistratie &amp; dieetprofielen (EU 1169/2011)</w:t>
      </w:r>
    </w:p>
    <w:p>
      <w:pPr>
        <w:numPr>
          <w:ilvl w:val="0"/>
          <w:numId w:val="1"/>
        </w:numPr>
        <w:spacing w:lineRule="auto"/>
      </w:pPr>
      <w:r>
        <w:rPr/>
        <w:t xml:space="preserve">W-02 Leverbetrouwbaarheid &amp; tijdvensters (11:00–13:30)</w:t>
      </w:r>
    </w:p>
    <w:p>
      <w:pPr>
        <w:numPr>
          <w:ilvl w:val="0"/>
          <w:numId w:val="1"/>
        </w:numPr>
        <w:spacing w:lineRule="auto"/>
      </w:pPr>
      <w:r>
        <w:rPr/>
        <w:t xml:space="preserve">W-03 Duurzame inkoop (≥25% bio, ≥30% lokaal/regionaal)</w:t>
      </w:r>
    </w:p>
    <w:p>
      <w:pPr>
        <w:numPr>
          <w:ilvl w:val="0"/>
          <w:numId w:val="1"/>
        </w:numPr>
        <w:spacing w:lineRule="auto"/>
      </w:pPr>
      <w:r>
        <w:rPr/>
        <w:t xml:space="preserve">W-04 Foodwaste &lt;3% &amp; zero-waste verpakkingen</w:t>
      </w:r>
    </w:p>
    <w:p>
      <w:pPr>
        <w:numPr>
          <w:ilvl w:val="0"/>
          <w:numId w:val="1"/>
        </w:numPr>
        <w:spacing w:lineRule="auto"/>
      </w:pPr>
      <w:r>
        <w:rPr/>
        <w:t xml:space="preserve">W-05 Digitaal bestelsysteem &amp; menu-engine</w:t>
      </w:r>
    </w:p>
    <w:p>
      <w:pPr>
        <w:numPr>
          <w:ilvl w:val="0"/>
          <w:numId w:val="1"/>
        </w:numPr>
        <w:spacing w:lineRule="auto"/>
      </w:pPr>
      <w:r>
        <w:rPr/>
        <w:t xml:space="preserve">W-06 Multilocatie-logistiek en capaciteitsborging (≥500 couverts/dag)</w:t>
      </w:r>
    </w:p>
    <w:p>
      <w:pPr>
        <w:numPr>
          <w:ilvl w:val="0"/>
          <w:numId w:val="2"/>
        </w:numPr>
        <w:spacing w:lineRule="auto"/>
      </w:pPr>
      <w:r>
        <w:rPr/>
        <w:t xml:space="preserve">Gemeente Utrecht – Stadsbedrijf Lunchcatering</w:t>
      </w:r>
      <w:r>
        <w:rPr/>
      </w:r>
    </w:p>
    <w:p>
      <w:pPr>
        <w:spacing w:lineRule="auto"/>
      </w:pPr>
      <w:r>
        <w:rPr/>
        <w:t xml:space="preserve">PDCA-sturing (SMART):</w:t>
      </w:r>
    </w:p>
    <w:p>
      <w:pPr>
        <w:numPr>
          <w:ilvl w:val="0"/>
          <w:numId w:val="3"/>
        </w:numPr>
        <w:spacing w:lineRule="auto"/>
      </w:pPr>
      <w:r>
        <w:rPr/>
        <w:t xml:space="preserve">Plan: Target 2024: ≥99% op tijd; foodwaste ≤2,2%; bio ≥27%; lokaal ≥35%.</w:t>
      </w:r>
    </w:p>
    <w:p>
      <w:pPr>
        <w:numPr>
          <w:ilvl w:val="0"/>
          <w:numId w:val="3"/>
        </w:numPr>
        <w:spacing w:lineRule="auto"/>
      </w:pPr>
      <w:r>
        <w:rPr/>
        <w:t xml:space="preserve">Do: Routering via ORTEC; dag D-1 forecast uit bestelportaal; menu-engine seizoensrotatie 6-wekelijks.</w:t>
      </w:r>
    </w:p>
    <w:p>
      <w:pPr>
        <w:numPr>
          <w:ilvl w:val="0"/>
          <w:numId w:val="3"/>
        </w:numPr>
        <w:spacing w:lineRule="auto"/>
      </w:pPr>
      <w:r>
        <w:rPr/>
        <w:t xml:space="preserve">Check: Wekelijkse KPI-review; maandelijkse klantpanel-score.</w:t>
      </w:r>
    </w:p>
    <w:p>
      <w:pPr>
        <w:numPr>
          <w:ilvl w:val="0"/>
          <w:numId w:val="3"/>
        </w:numPr>
        <w:spacing w:lineRule="auto"/>
      </w:pPr>
      <w:r>
        <w:rPr/>
        <w:t xml:space="preserve">Act: Extra broodsnijcapaciteit locaties 2 en 5 (10-2024) → wachttijd -18%; vegan spreads uitgebreid → waardering +0,2.</w:t>
      </w:r>
    </w:p>
    <w:p>
      <w:pPr>
        <w:spacing w:lineRule="auto"/>
      </w:pPr>
      <w:r>
        <w:rPr/>
        <w:t xml:space="preserve">Kruisverband:</w:t>
      </w:r>
    </w:p>
    <w:p>
      <w:pPr>
        <w:numPr>
          <w:ilvl w:val="0"/>
          <w:numId w:val="4"/>
        </w:numPr>
        <w:spacing w:lineRule="auto"/>
      </w:pPr>
      <w:r>
        <w:rPr/>
        <w:t xml:space="preserve">W-01 ↔ KPI “Allergenen-fouten=0” ↔ Risico: kruisbesmetting ↔ Bewijs: UT-AL-2024-… + audit Q4.</w:t>
      </w:r>
    </w:p>
    <w:p>
      <w:pPr>
        <w:numPr>
          <w:ilvl w:val="0"/>
          <w:numId w:val="4"/>
        </w:numPr>
        <w:spacing w:lineRule="auto"/>
      </w:pPr>
      <w:r>
        <w:rPr/>
        <w:t xml:space="preserve">W-04 ↔ KPI “Foodwaste 1,9%” ↔ Risico: overproductie ↔ Bewijs: KPI-dashboard + dagoverschottenlog.</w:t>
      </w:r>
    </w:p>
    <w:p>
      <w:pPr>
        <w:numPr>
          <w:ilvl w:val="0"/>
          <w:numId w:val="5"/>
        </w:numPr>
        <w:spacing w:lineRule="auto"/>
      </w:pPr>
      <w:r>
        <w:rPr/>
        <w:t xml:space="preserve">Provincie Noord-Holland – Provinciehuis Haarlem</w:t>
      </w:r>
      <w:r>
        <w:rPr/>
      </w:r>
    </w:p>
    <w:p>
      <w:pPr>
        <w:spacing w:lineRule="auto"/>
      </w:pPr>
      <w:r>
        <w:rPr/>
        <w:t xml:space="preserve">PDCA-sturing (SMART):</w:t>
      </w:r>
    </w:p>
    <w:p>
      <w:pPr>
        <w:numPr>
          <w:ilvl w:val="0"/>
          <w:numId w:val="6"/>
        </w:numPr>
        <w:spacing w:lineRule="auto"/>
      </w:pPr>
      <w:r>
        <w:rPr/>
        <w:t xml:space="preserve">Plan: ≥98,5% op tijd; klanttevredenheid ≥8,4; foodwaste ≤2,5%.</w:t>
      </w:r>
    </w:p>
    <w:p>
      <w:pPr>
        <w:numPr>
          <w:ilvl w:val="0"/>
          <w:numId w:val="6"/>
        </w:numPr>
        <w:spacing w:lineRule="auto"/>
      </w:pPr>
      <w:r>
        <w:rPr/>
        <w:t xml:space="preserve">Do: Pick-to-zero in keuken; derving gestuurd op historische uptake per productcategorie.</w:t>
      </w:r>
    </w:p>
    <w:p>
      <w:pPr>
        <w:numPr>
          <w:ilvl w:val="0"/>
          <w:numId w:val="6"/>
        </w:numPr>
        <w:spacing w:lineRule="auto"/>
      </w:pPr>
      <w:r>
        <w:rPr/>
        <w:t xml:space="preserve">Check: Maandelijkse review met facilitair team; kwartaalrapport duurzaamheid.</w:t>
      </w:r>
    </w:p>
    <w:p>
      <w:pPr>
        <w:numPr>
          <w:ilvl w:val="0"/>
          <w:numId w:val="6"/>
        </w:numPr>
        <w:spacing w:lineRule="auto"/>
      </w:pPr>
      <w:r>
        <w:rPr/>
        <w:t xml:space="preserve">Act: Overschakeling op lokale broodleverancier (07-2024) → lokaal aandeel +6%; pilot “kleine porties + bijscheppen” → waste -0,4%-punt.</w:t>
      </w:r>
    </w:p>
    <w:p>
      <w:pPr>
        <w:spacing w:lineRule="auto"/>
      </w:pPr>
      <w:r>
        <w:rPr/>
        <w:t xml:space="preserve">Kruisverband:</w:t>
      </w:r>
    </w:p>
    <w:p>
      <w:pPr>
        <w:numPr>
          <w:ilvl w:val="0"/>
          <w:numId w:val="7"/>
        </w:numPr>
        <w:spacing w:lineRule="auto"/>
      </w:pPr>
      <w:r>
        <w:rPr/>
        <w:t xml:space="preserve">W-03 ↔ KPI “Lokaal 41% / Bio 27%” ↔ Risico: leveringszekerheid seizoensproducten ↔ Bewijs: leveranciers-COO registraties + kwartaalrapport duurzaamheid.</w:t>
      </w:r>
    </w:p>
    <w:p>
      <w:pPr>
        <w:numPr>
          <w:ilvl w:val="0"/>
          <w:numId w:val="8"/>
        </w:numPr>
        <w:spacing w:lineRule="auto"/>
      </w:pPr>
      <w:r>
        <w:rPr/>
        <w:t xml:space="preserve">Waternet – Hoofdkantoor en operationele locaties Amsterdam</w:t>
      </w:r>
      <w:r>
        <w:rPr/>
      </w:r>
    </w:p>
    <w:p>
      <w:pPr>
        <w:spacing w:lineRule="auto"/>
      </w:pPr>
      <w:r>
        <w:rPr/>
        <w:t xml:space="preserve">PDCA-sturing (SMART):</w:t>
      </w:r>
    </w:p>
    <w:p>
      <w:pPr>
        <w:numPr>
          <w:ilvl w:val="0"/>
          <w:numId w:val="9"/>
        </w:numPr>
        <w:spacing w:lineRule="auto"/>
      </w:pPr>
      <w:r>
        <w:rPr/>
        <w:t xml:space="preserve">Plan: Doel 2024: 0 allergenenincidenten; ≥99,5% op tijd; retour herbruikbaar ≥94%.</w:t>
      </w:r>
    </w:p>
    <w:p>
      <w:pPr>
        <w:numPr>
          <w:ilvl w:val="0"/>
          <w:numId w:val="9"/>
        </w:numPr>
        <w:spacing w:lineRule="auto"/>
      </w:pPr>
      <w:r>
        <w:rPr/>
        <w:t xml:space="preserve">Do: Live-capacity monitor routes; allergenenscan dubbele controle (keuken + uitgifte).</w:t>
      </w:r>
    </w:p>
    <w:p>
      <w:pPr>
        <w:numPr>
          <w:ilvl w:val="0"/>
          <w:numId w:val="9"/>
        </w:numPr>
        <w:spacing w:lineRule="auto"/>
      </w:pPr>
      <w:r>
        <w:rPr/>
        <w:t xml:space="preserve">Check: Dagstart + dagafsluit met afwijkingsrapport; maandelijkse MT-rapportage.</w:t>
      </w:r>
    </w:p>
    <w:p>
      <w:pPr>
        <w:numPr>
          <w:ilvl w:val="0"/>
          <w:numId w:val="9"/>
        </w:numPr>
        <w:spacing w:lineRule="auto"/>
      </w:pPr>
      <w:r>
        <w:rPr/>
        <w:t xml:space="preserve">Act: Invoering scan bij uitgifte (QR op badge) 06-2024 → retour +3%-punt; vervanging eenpersoons plastic cups door RVS 09-2024 → restafval -18%.</w:t>
      </w:r>
    </w:p>
    <w:p>
      <w:pPr>
        <w:spacing w:lineRule="auto"/>
      </w:pPr>
      <w:r>
        <w:rPr/>
        <w:t xml:space="preserve">Kruisverband:</w:t>
      </w:r>
    </w:p>
    <w:p>
      <w:pPr>
        <w:numPr>
          <w:ilvl w:val="0"/>
          <w:numId w:val="10"/>
        </w:numPr>
        <w:spacing w:lineRule="auto"/>
      </w:pPr>
      <w:r>
        <w:rPr/>
        <w:t xml:space="preserve">W-02 ↔ KPI “Op tijd 99,8%” ↔ Risico: verkeersvertragingen ↔ Bewijs: route-log ORTEC + incident-rapportages.</w:t>
      </w:r>
    </w:p>
    <w:p>
      <w:pPr>
        <w:numPr>
          <w:ilvl w:val="0"/>
          <w:numId w:val="10"/>
        </w:numPr>
        <w:spacing w:lineRule="auto"/>
      </w:pPr>
      <w:r>
        <w:rPr/>
        <w:t xml:space="preserve">W-04 ↔ KPI “Retour 95% / waste 2,0%” ↔ Risico: weglek verpakkingen ↔ Bewijs: statiegeldregister + weegbonnen.</w:t>
      </w:r>
    </w:p>
    <w:p>
      <w:pPr>
        <w:numPr>
          <w:ilvl w:val="0"/>
          <w:numId w:val="11"/>
        </w:numPr>
        <w:spacing w:lineRule="auto"/>
      </w:pPr>
      <w:r>
        <w:rPr/>
        <w:t xml:space="preserve">Hogeschool van Amsterdam (HvA) – Campusbrede lunchcatering</w:t>
      </w:r>
      <w:r>
        <w:rPr/>
      </w:r>
    </w:p>
    <w:p>
      <w:pPr>
        <w:spacing w:lineRule="auto"/>
      </w:pPr>
      <w:r>
        <w:rPr/>
        <w:t xml:space="preserve">PDCA-sturing (SMART):</w:t>
      </w:r>
    </w:p>
    <w:p>
      <w:pPr>
        <w:numPr>
          <w:ilvl w:val="0"/>
          <w:numId w:val="12"/>
        </w:numPr>
        <w:spacing w:lineRule="auto"/>
      </w:pPr>
      <w:r>
        <w:rPr/>
        <w:t xml:space="preserve">Plan: Waste ≤2,6%; tevredenheid ≥8,2; bio ≥25%.</w:t>
      </w:r>
    </w:p>
    <w:p>
      <w:pPr>
        <w:numPr>
          <w:ilvl w:val="0"/>
          <w:numId w:val="12"/>
        </w:numPr>
        <w:spacing w:lineRule="auto"/>
      </w:pPr>
      <w:r>
        <w:rPr/>
        <w:t xml:space="preserve">Do: Demand shaping via voorspellend bestellen in app; dynamic menu swapping bij lage uptake.</w:t>
      </w:r>
    </w:p>
    <w:p>
      <w:pPr>
        <w:numPr>
          <w:ilvl w:val="0"/>
          <w:numId w:val="12"/>
        </w:numPr>
        <w:spacing w:lineRule="auto"/>
      </w:pPr>
      <w:r>
        <w:rPr/>
        <w:t xml:space="preserve">Check: Weekrapportage uptake per artikel; maandelijkse panelmeting.</w:t>
      </w:r>
    </w:p>
    <w:p>
      <w:pPr>
        <w:numPr>
          <w:ilvl w:val="0"/>
          <w:numId w:val="12"/>
        </w:numPr>
        <w:spacing w:lineRule="auto"/>
      </w:pPr>
      <w:r>
        <w:rPr/>
        <w:t xml:space="preserve">Act: Introduceer “late-lunch light” assortiment (03-2024) → waste -0,3%-punt; switch naar regionaal fruit (10-2024) → lokaal +4%-punt.</w:t>
      </w:r>
    </w:p>
    <w:p>
      <w:pPr>
        <w:spacing w:lineRule="auto"/>
      </w:pPr>
      <w:r>
        <w:rPr/>
        <w:t xml:space="preserve">Kruisverband:</w:t>
      </w:r>
    </w:p>
    <w:p>
      <w:pPr>
        <w:numPr>
          <w:ilvl w:val="0"/>
          <w:numId w:val="13"/>
        </w:numPr>
        <w:spacing w:lineRule="auto"/>
      </w:pPr>
      <w:r>
        <w:rPr/>
        <w:t xml:space="preserve">W-05 ↔ KPI “Tevredenheid 8,3 / NPS +41” ↔ Risico: mismatch aanbod-profiel ↔ Bewijs: app-analytics + panelrapport.</w:t>
      </w:r>
    </w:p>
    <w:p>
      <w:pPr>
        <w:spacing w:lineRule="auto"/>
      </w:pPr>
      <w:r>
        <w:rPr/>
        <w:t xml:space="preserve">Kruisverbanden W-xx ↔ KPI ↔ Risico ↔ Bewijs (overkoepelend)</w:t>
      </w:r>
    </w:p>
    <w:p>
      <w:pPr>
        <w:numPr>
          <w:ilvl w:val="0"/>
          <w:numId w:val="14"/>
        </w:numPr>
        <w:spacing w:lineRule="auto"/>
      </w:pPr>
      <w:r>
        <w:rPr/>
        <w:t xml:space="preserve">W-01 Allergenenregistratie: KPI 0 incidenten; Risico kruisbesmetting/etiketteringsfouten; Bewijs allergenenlogboeken, recall-oefeningen, HACCP-audits.</w:t>
      </w:r>
    </w:p>
    <w:p>
      <w:pPr>
        <w:numPr>
          <w:ilvl w:val="0"/>
          <w:numId w:val="14"/>
        </w:numPr>
        <w:spacing w:lineRule="auto"/>
      </w:pPr>
      <w:r>
        <w:rPr/>
        <w:t xml:space="preserve">W-02 Leverbetrouwbaarheid: KPI ≥98% op tijd; Risico verkeers- en piekbelasting; Bewijs route-logs, tijdstempels leveringen, incidentanalyses.</w:t>
      </w:r>
    </w:p>
    <w:p>
      <w:pPr>
        <w:numPr>
          <w:ilvl w:val="0"/>
          <w:numId w:val="14"/>
        </w:numPr>
        <w:spacing w:lineRule="auto"/>
      </w:pPr>
      <w:r>
        <w:rPr/>
        <w:t xml:space="preserve">W-03 Duurzame inkoop: KPI bio ≥25%, lokaal ≥30%; Risico seizoensschaarste; Bewijs leveranciers-COO, SKAL/biocertificaten, kwartaalrapporten.</w:t>
      </w:r>
    </w:p>
    <w:p>
      <w:pPr>
        <w:numPr>
          <w:ilvl w:val="0"/>
          <w:numId w:val="14"/>
        </w:numPr>
        <w:spacing w:lineRule="auto"/>
      </w:pPr>
      <w:r>
        <w:rPr/>
        <w:t xml:space="preserve">W-04 Foodwaste &amp; zero-waste: KPI &lt;3% waste, retour herbruikbaar ≥90%; Risico overproductie/verpakking weglek; Bewijs weegbonnen, statiegeldregister, waste-dashboard.</w:t>
      </w:r>
    </w:p>
    <w:p>
      <w:pPr>
        <w:numPr>
          <w:ilvl w:val="0"/>
          <w:numId w:val="14"/>
        </w:numPr>
        <w:spacing w:lineRule="auto"/>
      </w:pPr>
      <w:r>
        <w:rPr/>
        <w:t xml:space="preserve">W-05 Digitaal bestel- en dieetprofielen: KPI adoptie app ≥75%, tevredenheid ≥8,2; Risico verkeerde bestellingen; Bewijs gebruiksstatistieken, UAT-verslagen.</w:t>
      </w:r>
    </w:p>
    <w:p>
      <w:pPr>
        <w:numPr>
          <w:ilvl w:val="0"/>
          <w:numId w:val="14"/>
        </w:numPr>
        <w:spacing w:lineRule="auto"/>
      </w:pPr>
      <w:r>
        <w:rPr/>
        <w:t xml:space="preserve">W-06 Capaciteitsborging: KPI levercapaciteit ≥500 couverts/dag; Risico ondercapaciteit; Bewijs personeelsplanning, piekprotocollen, SLA-rapportage.</w:t>
      </w:r>
    </w:p>
    <w:p>
      <w:pPr>
        <w:spacing w:lineRule="auto"/>
      </w:pPr>
      <w:r>
        <w:rPr/>
        <w:t xml:space="preserve">Relevantie voor Raamovereenkomst Gemeente Amsterdam 2026–2030</w:t>
      </w:r>
    </w:p>
    <w:p>
      <w:pPr>
        <w:numPr>
          <w:ilvl w:val="0"/>
          <w:numId w:val="15"/>
        </w:numPr>
        <w:spacing w:lineRule="auto"/>
      </w:pPr>
      <w:r>
        <w:rPr/>
        <w:t xml:space="preserve">Capaciteit: Bewezen uitvoering 500–800 couverts/dag, multilocatie (W-06).</w:t>
      </w:r>
    </w:p>
    <w:p>
      <w:pPr>
        <w:numPr>
          <w:ilvl w:val="0"/>
          <w:numId w:val="15"/>
        </w:numPr>
        <w:spacing w:lineRule="auto"/>
      </w:pPr>
      <w:r>
        <w:rPr/>
        <w:t xml:space="preserve">SLA-fit: Historisch ≥99% op tijd, tevredenheid ≥8,3, 0 allergenenincidenten (W-01, W-02).</w:t>
      </w:r>
    </w:p>
    <w:p>
      <w:pPr>
        <w:numPr>
          <w:ilvl w:val="0"/>
          <w:numId w:val="15"/>
        </w:numPr>
        <w:spacing w:lineRule="auto"/>
      </w:pPr>
      <w:r>
        <w:rPr/>
        <w:t xml:space="preserve">Duurzaamheid: Structureel ≥25% bio en ≥30% lokaal, waste 1,9–2,5%, hoge retourpercentages herbruikbaar (W-03, W-04).</w:t>
      </w:r>
    </w:p>
    <w:p>
      <w:pPr>
        <w:numPr>
          <w:ilvl w:val="0"/>
          <w:numId w:val="15"/>
        </w:numPr>
        <w:spacing w:lineRule="auto"/>
      </w:pPr>
      <w:r>
        <w:rPr/>
        <w:t xml:space="preserve">Digitalisering: Functioneel dieetprofielen + bestelportaal met forecasting en menu-engine (W-05).</w:t>
      </w:r>
    </w:p>
    <w:p>
      <w:pPr>
        <w:spacing w:lineRule="auto"/>
      </w:pPr>
      <w:r>
        <w:rPr/>
        <w:t xml:space="preserve">Contact voor referentiebezoeken of bewijsstukken</w:t>
      </w:r>
    </w:p>
    <w:p>
      <w:pPr>
        <w:numPr>
          <w:ilvl w:val="0"/>
          <w:numId w:val="16"/>
        </w:numPr>
        <w:spacing w:lineRule="auto"/>
      </w:pPr>
      <w:r>
        <w:rPr/>
        <w:t xml:space="preserve">Caternext B.V., Foodlaan 12, 1043 AB Amsterdam</w:t>
      </w:r>
    </w:p>
    <w:p>
      <w:pPr>
        <w:numPr>
          <w:ilvl w:val="0"/>
          <w:numId w:val="16"/>
        </w:numPr>
        <w:spacing w:lineRule="auto"/>
      </w:pPr>
      <w:r>
        <w:rPr/>
        <w:t xml:space="preserve">Referentiecoördinator: Inge Meerman, </w:t>
      </w:r>
      <w:hyperlink r:id="rId6">
        <w:r>
          <w:rPr>
            <w:rStyle w:val="Hyperlink"/>
          </w:rPr>
          <w:t xml:space="preserve">tenders@caternext.nl</w:t>
        </w:r>
      </w:hyperlink>
      <w:r>
        <w:rPr/>
        <w:t xml:space="preserve">, +31 20 241 88 30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tenders@caternext.nl" TargetMode="Ex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