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7" w:type="default"/>
      <w:footerReference r:id="rId8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README — Lees Mij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README — Raamovereenkomst Duurzame Catering en Bedrijfslunch 2026–2030 (GEM-AMS-CATER-2026-014)</w:t>
      </w:r>
    </w:p>
    <w:p>
      <w:pPr>
        <w:spacing w:lineRule="auto"/>
      </w:pPr>
      <w:r>
        <w:rPr/>
        <w:t xml:space="preserve">Doel</w:t>
      </w:r>
    </w:p>
    <w:p>
      <w:pPr>
        <w:numPr>
          <w:ilvl w:val="0"/>
          <w:numId w:val="1"/>
        </w:numPr>
        <w:spacing w:lineRule="auto"/>
      </w:pPr>
      <w:r>
        <w:rPr/>
        <w:t xml:space="preserve">Deze README geeft een snelle, controleerbare samenhang van doel, inhoud, structuur en leesvolgorde van het inschrijfpakket.</w:t>
      </w:r>
    </w:p>
    <w:p>
      <w:pPr>
        <w:numPr>
          <w:ilvl w:val="0"/>
          <w:numId w:val="1"/>
        </w:numPr>
        <w:spacing w:lineRule="auto"/>
      </w:pPr>
      <w:r>
        <w:rPr/>
        <w:t xml:space="preserve">Focus: aantoonbare conformiteit met KO/must, EMVI-scoringskansen en PDCA-borging op kwaliteit, duurzaamheid, risicobeheersing en prijs.</w:t>
      </w:r>
    </w:p>
    <w:p>
      <w:pPr>
        <w:spacing w:lineRule="auto"/>
      </w:pPr>
      <w:r>
        <w:rPr/>
        <w:t xml:space="preserve">Inhoud (meegeleverd)</w:t>
      </w:r>
    </w:p>
    <w:p>
      <w:pPr>
        <w:numPr>
          <w:ilvl w:val="0"/>
          <w:numId w:val="2"/>
        </w:numPr>
        <w:spacing w:lineRule="auto"/>
      </w:pPr>
      <w:r>
        <w:rPr/>
        <w:t xml:space="preserve">Plan van Aanpak (PvA): uitvoering per werkstroom (W-xx), planning, processen, PDCA-cyclus, rapportages.</w:t>
      </w:r>
    </w:p>
    <w:p>
      <w:pPr>
        <w:numPr>
          <w:ilvl w:val="0"/>
          <w:numId w:val="2"/>
        </w:numPr>
        <w:spacing w:lineRule="auto"/>
      </w:pPr>
      <w:r>
        <w:rPr/>
        <w:t xml:space="preserve">Risicodossier: risico’s (R-xx), oorzaken, maatregelen, restkans/restimpact, escalatie.</w:t>
      </w:r>
    </w:p>
    <w:p>
      <w:pPr>
        <w:numPr>
          <w:ilvl w:val="0"/>
          <w:numId w:val="2"/>
        </w:numPr>
        <w:spacing w:lineRule="auto"/>
      </w:pPr>
      <w:r>
        <w:rPr/>
        <w:t xml:space="preserve">KPI-overzicht: definities, normen/targets, meetmethode, rapportagefrequentie, verantwoordelijke.</w:t>
      </w:r>
    </w:p>
    <w:p>
      <w:pPr>
        <w:numPr>
          <w:ilvl w:val="0"/>
          <w:numId w:val="2"/>
        </w:numPr>
        <w:spacing w:lineRule="auto"/>
      </w:pPr>
      <w:r>
        <w:rPr/>
        <w:t xml:space="preserve">Certificatenmap: ISO 22000 (geldig), HACCP, PSL niveau 3.</w:t>
      </w:r>
    </w:p>
    <w:p>
      <w:pPr>
        <w:numPr>
          <w:ilvl w:val="0"/>
          <w:numId w:val="2"/>
        </w:numPr>
        <w:spacing w:lineRule="auto"/>
      </w:pPr>
      <w:r>
        <w:rPr/>
        <w:t xml:space="preserve">Bedrijfsprofiel Caternext B.V.: KVK, BTW, adres, contact.</w:t>
      </w:r>
    </w:p>
    <w:p>
      <w:pPr>
        <w:numPr>
          <w:ilvl w:val="0"/>
          <w:numId w:val="2"/>
        </w:numPr>
        <w:spacing w:lineRule="auto"/>
      </w:pPr>
      <w:r>
        <w:rPr/>
        <w:t xml:space="preserve">Bijlage Tooling &amp; Systemen: digitale bestelsysteemfuncties (dieetprofielen, allergenenbeheer EU 1169/2011), menu-engine, dashboards.</w:t>
      </w:r>
    </w:p>
    <w:p>
      <w:pPr>
        <w:numPr>
          <w:ilvl w:val="0"/>
          <w:numId w:val="2"/>
        </w:numPr>
        <w:spacing w:lineRule="auto"/>
      </w:pPr>
      <w:r>
        <w:rPr/>
        <w:t xml:space="preserve">Bijlage Logistiek: levercapaciteit en routes over meerdere locaties binnen 11:00–13:30; bewijs levercapaciteit ≥500 couverts/dag.</w:t>
      </w:r>
    </w:p>
    <w:p>
      <w:pPr>
        <w:spacing w:lineRule="auto"/>
      </w:pPr>
      <w:r>
        <w:rPr/>
        <w:t xml:space="preserve">Reikwijdte en normen (samenvatting)</w:t>
      </w:r>
    </w:p>
    <w:p>
      <w:pPr>
        <w:numPr>
          <w:ilvl w:val="0"/>
          <w:numId w:val="3"/>
        </w:numPr>
        <w:spacing w:lineRule="auto"/>
      </w:pPr>
      <w:r>
        <w:rPr/>
        <w:t xml:space="preserve">Dagelijkse bedrijfslunch (≥500 couverts/dag), meerdere locaties, vensters 11:00–13:30.</w:t>
      </w:r>
    </w:p>
    <w:p>
      <w:pPr>
        <w:numPr>
          <w:ilvl w:val="0"/>
          <w:numId w:val="3"/>
        </w:numPr>
        <w:spacing w:lineRule="auto"/>
      </w:pPr>
      <w:r>
        <w:rPr/>
        <w:t xml:space="preserve">Menu’s seizoensgebonden, ≥30% lokaal/regio, ≥25% biologisch.</w:t>
      </w:r>
    </w:p>
    <w:p>
      <w:pPr>
        <w:numPr>
          <w:ilvl w:val="0"/>
          <w:numId w:val="3"/>
        </w:numPr>
        <w:spacing w:lineRule="auto"/>
      </w:pPr>
      <w:r>
        <w:rPr/>
        <w:t xml:space="preserve">Allergenenregistratie en dieetprofielen (EU 1169/2011), digitaal bestelsysteem.</w:t>
      </w:r>
    </w:p>
    <w:p>
      <w:pPr>
        <w:numPr>
          <w:ilvl w:val="0"/>
          <w:numId w:val="3"/>
        </w:numPr>
        <w:spacing w:lineRule="auto"/>
      </w:pPr>
      <w:r>
        <w:rPr/>
        <w:t xml:space="preserve">Zero-waste verpakkingen, foodwaste &lt;3%.</w:t>
      </w:r>
    </w:p>
    <w:p>
      <w:pPr>
        <w:numPr>
          <w:ilvl w:val="0"/>
          <w:numId w:val="3"/>
        </w:numPr>
        <w:spacing w:lineRule="auto"/>
      </w:pPr>
      <w:r>
        <w:rPr/>
        <w:t xml:space="preserve">SLA/KPI’s: op tijd geleverd ≥98%; klanttevredenheid ≥8,2; allergenen-fouten = 0.</w:t>
      </w:r>
    </w:p>
    <w:p>
      <w:pPr>
        <w:spacing w:lineRule="auto"/>
      </w:pPr>
      <w:r>
        <w:rPr/>
        <w:t xml:space="preserve">EMVI en structuur</w:t>
      </w:r>
    </w:p>
    <w:p>
      <w:pPr>
        <w:numPr>
          <w:ilvl w:val="0"/>
          <w:numId w:val="4"/>
        </w:numPr>
        <w:spacing w:lineRule="auto"/>
      </w:pPr>
      <w:r>
        <w:rPr/>
        <w:t xml:space="preserve">EMVI-criteria: Kwaliteit 40%, Duurzaamheid 20%, Risicobeheersing 20%, Prijs 20%.</w:t>
      </w:r>
    </w:p>
    <w:p>
      <w:pPr>
        <w:numPr>
          <w:ilvl w:val="0"/>
          <w:numId w:val="4"/>
        </w:numPr>
        <w:spacing w:lineRule="auto"/>
      </w:pPr>
      <w:r>
        <w:rPr/>
        <w:t xml:space="preserve">Documentstructuur volgt EMVI: PvA (kwaliteit/duurzaamheid), Risicodossier (risicobeheersing), KPI-overzicht (SLA/controle), bijlagen als bewijs.</w:t>
      </w:r>
    </w:p>
    <w:p>
      <w:pPr>
        <w:spacing w:lineRule="auto"/>
      </w:pPr>
      <w:r>
        <w:rPr/>
        <w:t xml:space="preserve">PDCA-overzicht (waar te vinden)</w:t>
      </w:r>
    </w:p>
    <w:p>
      <w:pPr>
        <w:numPr>
          <w:ilvl w:val="0"/>
          <w:numId w:val="5"/>
        </w:numPr>
        <w:spacing w:lineRule="auto"/>
      </w:pPr>
      <w:r>
        <w:rPr/>
        <w:t xml:space="preserve">Plan: PvA hoofdstuk 2–4 (W-xx scope, proces, planning; menu- en inkoopbeleid; logistiek en IT).</w:t>
      </w:r>
    </w:p>
    <w:p>
      <w:pPr>
        <w:numPr>
          <w:ilvl w:val="0"/>
          <w:numId w:val="5"/>
        </w:numPr>
        <w:spacing w:lineRule="auto"/>
      </w:pPr>
      <w:r>
        <w:rPr/>
        <w:t xml:space="preserve">Do: PvA hoofdstuk 5–6 (operatie per locatie, cut-off tijden, allergenenproces, zero-waste routines).</w:t>
      </w:r>
    </w:p>
    <w:p>
      <w:pPr>
        <w:numPr>
          <w:ilvl w:val="0"/>
          <w:numId w:val="5"/>
        </w:numPr>
        <w:spacing w:lineRule="auto"/>
      </w:pPr>
      <w:r>
        <w:rPr/>
        <w:t xml:space="preserve">Check: KPI-overzicht + rapportagekalender; dashboards foodwaste/allergenen/on-time.</w:t>
      </w:r>
    </w:p>
    <w:p>
      <w:pPr>
        <w:numPr>
          <w:ilvl w:val="0"/>
          <w:numId w:val="5"/>
        </w:numPr>
        <w:spacing w:lineRule="auto"/>
      </w:pPr>
      <w:r>
        <w:rPr/>
        <w:t xml:space="preserve">Act: Risicodossier escalaties; verbeterbacklog en wijzigingsbeheer (PvA hoofdstuk 7).</w:t>
      </w:r>
    </w:p>
    <w:p>
      <w:pPr>
        <w:spacing w:lineRule="auto"/>
      </w:pPr>
      <w:r>
        <w:rPr/>
        <w:t xml:space="preserve">Werkstromen en kruisverwijzing W-xx ↔ KPI ↔ Risico ↔ Bewijs</w:t>
      </w:r>
    </w:p>
    <w:p>
      <w:pPr>
        <w:numPr>
          <w:ilvl w:val="0"/>
          <w:numId w:val="6"/>
        </w:numPr>
        <w:spacing w:lineRule="auto"/>
      </w:pPr>
      <w:r>
        <w:rPr/>
        <w:t xml:space="preserve">W-01 Voedselveiligheid en allergenen</w:t>
      </w:r>
    </w:p>
    <w:p>
      <w:pPr>
        <w:numPr>
          <w:ilvl w:val="1"/>
          <w:numId w:val="7"/>
        </w:numPr>
        <w:spacing w:lineRule="auto"/>
      </w:pPr>
      <w:r>
        <w:rPr/>
        <w:t xml:space="preserve">KPI: Allergenen-fouten = 0; auditconformiteit 100%</w:t>
      </w:r>
    </w:p>
    <w:p>
      <w:pPr>
        <w:numPr>
          <w:ilvl w:val="1"/>
          <w:numId w:val="7"/>
        </w:numPr>
        <w:spacing w:lineRule="auto"/>
      </w:pPr>
      <w:r>
        <w:rPr/>
        <w:t xml:space="preserve">Risico: R-01 Allergenenincident; R-02 etiketteringsfout</w:t>
      </w:r>
    </w:p>
    <w:p>
      <w:pPr>
        <w:numPr>
          <w:ilvl w:val="1"/>
          <w:numId w:val="7"/>
        </w:numPr>
        <w:spacing w:lineRule="auto"/>
      </w:pPr>
      <w:r>
        <w:rPr/>
        <w:t xml:space="preserve">Bewijs: ISO 22000, HACCP; Tooling-bijlage allergenenmodule; PvA werkinstructies</w:t>
      </w:r>
    </w:p>
    <w:p>
      <w:pPr>
        <w:numPr>
          <w:ilvl w:val="0"/>
          <w:numId w:val="6"/>
        </w:numPr>
        <w:spacing w:lineRule="auto"/>
      </w:pPr>
      <w:r>
        <w:rPr/>
        <w:t xml:space="preserve">W-02 Capaciteit en logistiek (≥500 couverts/dag)</w:t>
      </w:r>
    </w:p>
    <w:p>
      <w:pPr>
        <w:numPr>
          <w:ilvl w:val="1"/>
          <w:numId w:val="8"/>
        </w:numPr>
        <w:spacing w:lineRule="auto"/>
      </w:pPr>
      <w:r>
        <w:rPr/>
        <w:t xml:space="preserve">KPI: Op tijd ≥98%; leverbetrouwbaarheid per locatie ≥97%</w:t>
      </w:r>
    </w:p>
    <w:p>
      <w:pPr>
        <w:numPr>
          <w:ilvl w:val="1"/>
          <w:numId w:val="8"/>
        </w:numPr>
        <w:spacing w:lineRule="auto"/>
      </w:pPr>
      <w:r>
        <w:rPr/>
        <w:t xml:space="preserve">Risico: R-03 Capaciteitsschommeling; R-04 verkeers-/routeverstoring</w:t>
      </w:r>
    </w:p>
    <w:p>
      <w:pPr>
        <w:numPr>
          <w:ilvl w:val="1"/>
          <w:numId w:val="8"/>
        </w:numPr>
        <w:spacing w:lineRule="auto"/>
      </w:pPr>
      <w:r>
        <w:rPr/>
        <w:t xml:space="preserve">Bewijs: Bijlage Logistiek; route- en bezettingsplanning; voertuigenoverzicht</w:t>
      </w:r>
    </w:p>
    <w:p>
      <w:pPr>
        <w:numPr>
          <w:ilvl w:val="0"/>
          <w:numId w:val="6"/>
        </w:numPr>
        <w:spacing w:lineRule="auto"/>
      </w:pPr>
      <w:r>
        <w:rPr/>
        <w:t xml:space="preserve">W-03 Menu, lokaal/biologisch en seizoenen</w:t>
      </w:r>
    </w:p>
    <w:p>
      <w:pPr>
        <w:numPr>
          <w:ilvl w:val="1"/>
          <w:numId w:val="9"/>
        </w:numPr>
        <w:spacing w:lineRule="auto"/>
      </w:pPr>
      <w:r>
        <w:rPr/>
        <w:t xml:space="preserve">KPI: ≥30% lokaal/regio; ≥25% bio; rotatie per seizoen = 100%</w:t>
      </w:r>
    </w:p>
    <w:p>
      <w:pPr>
        <w:numPr>
          <w:ilvl w:val="1"/>
          <w:numId w:val="9"/>
        </w:numPr>
        <w:spacing w:lineRule="auto"/>
      </w:pPr>
      <w:r>
        <w:rPr/>
        <w:t xml:space="preserve">Risico: R-05 leveringskrapte lokaal/bio; R-06 kwaliteitsafwijking seizoen</w:t>
      </w:r>
    </w:p>
    <w:p>
      <w:pPr>
        <w:numPr>
          <w:ilvl w:val="1"/>
          <w:numId w:val="9"/>
        </w:numPr>
        <w:spacing w:lineRule="auto"/>
      </w:pPr>
      <w:r>
        <w:rPr/>
        <w:t xml:space="preserve">Bewijs: Leverancierslijst (incl. Fresh&amp;Local Coöp); inkooprapportages; menu-engine</w:t>
      </w:r>
    </w:p>
    <w:p>
      <w:pPr>
        <w:numPr>
          <w:ilvl w:val="0"/>
          <w:numId w:val="6"/>
        </w:numPr>
        <w:spacing w:lineRule="auto"/>
      </w:pPr>
      <w:r>
        <w:rPr/>
        <w:t xml:space="preserve">W-04 Dieetprofielen en digitaal bestellen</w:t>
      </w:r>
    </w:p>
    <w:p>
      <w:pPr>
        <w:numPr>
          <w:ilvl w:val="1"/>
          <w:numId w:val="10"/>
        </w:numPr>
        <w:spacing w:lineRule="auto"/>
      </w:pPr>
      <w:r>
        <w:rPr/>
        <w:t xml:space="preserve">KPI: 100% profielkoppeling voor bestellingen; 100% allergeneninfo zichtbaar</w:t>
      </w:r>
    </w:p>
    <w:p>
      <w:pPr>
        <w:numPr>
          <w:ilvl w:val="1"/>
          <w:numId w:val="10"/>
        </w:numPr>
        <w:spacing w:lineRule="auto"/>
      </w:pPr>
      <w:r>
        <w:rPr/>
        <w:t xml:space="preserve">Risico: R-07 foutieve profielmatching; R-08 systeemstoring</w:t>
      </w:r>
    </w:p>
    <w:p>
      <w:pPr>
        <w:numPr>
          <w:ilvl w:val="1"/>
          <w:numId w:val="10"/>
        </w:numPr>
        <w:spacing w:lineRule="auto"/>
      </w:pPr>
      <w:r>
        <w:rPr/>
        <w:t xml:space="preserve">Bewijs: Tooling-bijlage; API/uptime-overzicht; testlogs</w:t>
      </w:r>
    </w:p>
    <w:p>
      <w:pPr>
        <w:numPr>
          <w:ilvl w:val="0"/>
          <w:numId w:val="6"/>
        </w:numPr>
        <w:spacing w:lineRule="auto"/>
      </w:pPr>
      <w:r>
        <w:rPr/>
        <w:t xml:space="preserve">W-05 Zero-waste en foodwaste</w:t>
      </w:r>
    </w:p>
    <w:p>
      <w:pPr>
        <w:numPr>
          <w:ilvl w:val="1"/>
          <w:numId w:val="11"/>
        </w:numPr>
        <w:spacing w:lineRule="auto"/>
      </w:pPr>
      <w:r>
        <w:rPr/>
        <w:t xml:space="preserve">KPI: Foodwaste &lt;3%; 100% herbruikbare verpakking</w:t>
      </w:r>
    </w:p>
    <w:p>
      <w:pPr>
        <w:numPr>
          <w:ilvl w:val="1"/>
          <w:numId w:val="11"/>
        </w:numPr>
        <w:spacing w:lineRule="auto"/>
      </w:pPr>
      <w:r>
        <w:rPr/>
        <w:t xml:space="preserve">Risico: R-09 piekafname; R-10 retourstroom verstoring</w:t>
      </w:r>
    </w:p>
    <w:p>
      <w:pPr>
        <w:numPr>
          <w:ilvl w:val="1"/>
          <w:numId w:val="11"/>
        </w:numPr>
        <w:spacing w:lineRule="auto"/>
      </w:pPr>
      <w:r>
        <w:rPr/>
        <w:t xml:space="preserve">Bewijs: Verpakkingsspecificaties; waste-dashboard; procesbeschrijvingen</w:t>
      </w:r>
    </w:p>
    <w:p>
      <w:pPr>
        <w:numPr>
          <w:ilvl w:val="0"/>
          <w:numId w:val="6"/>
        </w:numPr>
        <w:spacing w:lineRule="auto"/>
      </w:pPr>
      <w:r>
        <w:rPr/>
        <w:t xml:space="preserve">W-06 Klanttevredenheid en service</w:t>
      </w:r>
    </w:p>
    <w:p>
      <w:pPr>
        <w:numPr>
          <w:ilvl w:val="1"/>
          <w:numId w:val="12"/>
        </w:numPr>
        <w:spacing w:lineRule="auto"/>
      </w:pPr>
      <w:r>
        <w:rPr/>
        <w:t xml:space="preserve">KPI: Tevredenheid ≥8,2; time-to-resolve klachten &lt;2 werkdagen (≥95%)</w:t>
      </w:r>
    </w:p>
    <w:p>
      <w:pPr>
        <w:numPr>
          <w:ilvl w:val="1"/>
          <w:numId w:val="12"/>
        </w:numPr>
        <w:spacing w:lineRule="auto"/>
      </w:pPr>
      <w:r>
        <w:rPr/>
        <w:t xml:space="preserve">Risico: R-11 verwachtingskloof; R-12 communicatievertraging</w:t>
      </w:r>
    </w:p>
    <w:p>
      <w:pPr>
        <w:numPr>
          <w:ilvl w:val="1"/>
          <w:numId w:val="12"/>
        </w:numPr>
        <w:spacing w:lineRule="auto"/>
      </w:pPr>
      <w:r>
        <w:rPr/>
        <w:t xml:space="preserve">Bewijs: Enquête-instrument; klachtenproces; rapportages</w:t>
      </w:r>
    </w:p>
    <w:p>
      <w:pPr>
        <w:spacing w:lineRule="auto"/>
      </w:pPr>
      <w:r>
        <w:rPr/>
        <w:t xml:space="preserve">Leeswijzer (sneltoets)</w:t>
      </w:r>
    </w:p>
    <w:p>
      <w:pPr>
        <w:numPr>
          <w:ilvl w:val="0"/>
          <w:numId w:val="13"/>
        </w:numPr>
        <w:spacing w:lineRule="auto"/>
      </w:pPr>
      <w:r>
        <w:rPr/>
        <w:t xml:space="preserve">Stap 1: KO-check (Certificatenmap + Bijlage Logistiek).</w:t>
      </w:r>
    </w:p>
    <w:p>
      <w:pPr>
        <w:numPr>
          <w:ilvl w:val="0"/>
          <w:numId w:val="13"/>
        </w:numPr>
        <w:spacing w:lineRule="auto"/>
      </w:pPr>
      <w:r>
        <w:rPr/>
        <w:t xml:space="preserve">Stap 2: Must-check (PvA hoofdstuk 3–6; W-03/W-05).</w:t>
      </w:r>
    </w:p>
    <w:p>
      <w:pPr>
        <w:numPr>
          <w:ilvl w:val="0"/>
          <w:numId w:val="13"/>
        </w:numPr>
        <w:spacing w:lineRule="auto"/>
      </w:pPr>
      <w:r>
        <w:rPr/>
        <w:t xml:space="preserve">Stap 3: EMVI-beoordeling</w:t>
      </w:r>
    </w:p>
    <w:p>
      <w:pPr>
        <w:numPr>
          <w:ilvl w:val="1"/>
          <w:numId w:val="14"/>
        </w:numPr>
        <w:spacing w:lineRule="auto"/>
      </w:pPr>
      <w:r>
        <w:rPr/>
        <w:t xml:space="preserve">Kwaliteit: PvA W-01/W-02/W-04</w:t>
      </w:r>
    </w:p>
    <w:p>
      <w:pPr>
        <w:numPr>
          <w:ilvl w:val="1"/>
          <w:numId w:val="14"/>
        </w:numPr>
        <w:spacing w:lineRule="auto"/>
      </w:pPr>
      <w:r>
        <w:rPr/>
        <w:t xml:space="preserve">Duurzaamheid: PvA W-03/W-05 + KPI-overzicht</w:t>
      </w:r>
    </w:p>
    <w:p>
      <w:pPr>
        <w:numPr>
          <w:ilvl w:val="1"/>
          <w:numId w:val="14"/>
        </w:numPr>
        <w:spacing w:lineRule="auto"/>
      </w:pPr>
      <w:r>
        <w:rPr/>
        <w:t xml:space="preserve">Risico: Risicodossier R-01 t/m R-12</w:t>
      </w:r>
    </w:p>
    <w:p>
      <w:pPr>
        <w:numPr>
          <w:ilvl w:val="1"/>
          <w:numId w:val="14"/>
        </w:numPr>
        <w:spacing w:lineRule="auto"/>
      </w:pPr>
      <w:r>
        <w:rPr/>
        <w:t xml:space="preserve">Prijs: prijsbijlage/inschrijfformulier (prijs is prijsvast conform inschrijving)</w:t>
      </w:r>
    </w:p>
    <w:p>
      <w:pPr>
        <w:numPr>
          <w:ilvl w:val="0"/>
          <w:numId w:val="13"/>
        </w:numPr>
        <w:spacing w:lineRule="auto"/>
      </w:pPr>
      <w:r>
        <w:rPr/>
        <w:t xml:space="preserve">Stap 4: Validatie PDCA: KPI-overzicht + rapportagekalender; Act-mechanismen in Risicodossier.</w:t>
      </w:r>
    </w:p>
    <w:p>
      <w:pPr>
        <w:spacing w:lineRule="auto"/>
      </w:pPr>
      <w:r>
        <w:rPr/>
        <w:t xml:space="preserve">Randvoorwaarden en conformiteit</w:t>
      </w:r>
    </w:p>
    <w:p>
      <w:pPr>
        <w:numPr>
          <w:ilvl w:val="0"/>
          <w:numId w:val="15"/>
        </w:numPr>
        <w:spacing w:lineRule="auto"/>
      </w:pPr>
      <w:r>
        <w:rPr/>
        <w:t xml:space="preserve">Conform EU 1169/2011, KO-eisen en must-haves.</w:t>
      </w:r>
    </w:p>
    <w:p>
      <w:pPr>
        <w:numPr>
          <w:ilvl w:val="0"/>
          <w:numId w:val="15"/>
        </w:numPr>
        <w:spacing w:lineRule="auto"/>
      </w:pPr>
      <w:r>
        <w:rPr/>
        <w:t xml:space="preserve">Prijsafspraken prijsvast; garantie 12 maanden op geleverde tooling en rapportagediensten.</w:t>
      </w:r>
    </w:p>
    <w:p>
      <w:pPr>
        <w:numPr>
          <w:ilvl w:val="0"/>
          <w:numId w:val="15"/>
        </w:numPr>
        <w:spacing w:lineRule="auto"/>
      </w:pPr>
      <w:r>
        <w:rPr/>
        <w:t xml:space="preserve">Geen afhankelijkheden van opdrachtgever voor basisuitvoering; locatiegegevens worden in overdrachtssessie ingelezen in het systeem.</w:t>
      </w:r>
    </w:p>
    <w:p>
      <w:pPr>
        <w:spacing w:lineRule="auto"/>
      </w:pPr>
      <w:r>
        <w:rPr/>
        <w:t xml:space="preserve">Contact</w:t>
      </w:r>
    </w:p>
    <w:p>
      <w:pPr>
        <w:numPr>
          <w:ilvl w:val="0"/>
          <w:numId w:val="16"/>
        </w:numPr>
        <w:spacing w:lineRule="auto"/>
      </w:pPr>
      <w:r>
        <w:rPr/>
        <w:t xml:space="preserve">Caternext B.V., Foodlaan 12, 1043 AB Amsterdam</w:t>
      </w:r>
    </w:p>
    <w:p>
      <w:pPr>
        <w:numPr>
          <w:ilvl w:val="0"/>
          <w:numId w:val="16"/>
        </w:numPr>
        <w:spacing w:lineRule="auto"/>
      </w:pPr>
      <w:r>
        <w:rPr/>
        <w:t xml:space="preserve">KVK 81234567, BTW NL812345678B01</w:t>
      </w:r>
    </w:p>
    <w:p>
      <w:pPr>
        <w:numPr>
          <w:ilvl w:val="0"/>
          <w:numId w:val="16"/>
        </w:numPr>
        <w:spacing w:lineRule="auto"/>
      </w:pPr>
      <w:r>
        <w:rPr/>
        <w:t xml:space="preserve">Contact: Laura van Dijk, +31 20 123 4567, </w:t>
      </w:r>
      <w:hyperlink r:id="rId6">
        <w:r>
          <w:rPr>
            <w:rStyle w:val="Hyperlink"/>
          </w:rPr>
          <w:t xml:space="preserve">aanbestedingen@amsterdam.nl</w:t>
        </w:r>
      </w:hyperlink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aanbestedingen@amsterdam.nl" TargetMode="External"/>
  <Relationship Id="rId7" Type="http://schemas.openxmlformats.org/officeDocument/2006/relationships/header" Target="header1.xml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— Lees Mij</dc:title>
  <dc:subject/>
  <dc:creator>html-to-docx</dc:creator>
  <cp:keywords>html-to-docx</cp:keywords>
  <dc:description/>
  <cp:lastModifiedBy>html-to-docx</cp:lastModifiedBy>
  <cp:revision>1</cp:revision>
  <dcterms:created xsi:type="dcterms:W3CDTF">2025-11-04T09:23:04.643Z</dcterms:created>
  <dcterms:modified xsi:type="dcterms:W3CDTF">2025-11-04T09:23:04.643Z</dcterms:modified>
</cp:coreProperties>
</file>