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Risicoregister</w:t>
      </w:r>
    </w:p>
    <w:p>
      <w:pPr>
        <w:pStyle w:val="Heading2"/>
        <w:spacing w:lineRule="auto"/>
      </w:pPr>
      <w:r>
        <w:rPr/>
        <w:t xml:space="preserve">Caternext B.V. — Raamovereenkomst Duurzame Catering en Bedrijfslunch 2026–2030</w:t>
      </w:r>
    </w:p>
    <w:p>
      <w:pPr>
        <w:spacing w:lineRule="auto"/>
      </w:pPr>
      <w:r>
        <w:rPr/>
        <w:t xml:space="preserve">     04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Risico’s – Risicoregister Caternext B.V. voor Raamovereenkomst Duurzame Catering en Bedrijfslunch 2026–2030 (GEM-AMS-CATER-2026-014)</w:t>
      </w:r>
    </w:p>
    <w:p>
      <w:pPr>
        <w:spacing w:lineRule="auto"/>
      </w:pPr>
      <w:r>
        <w:rPr/>
        <w:t xml:space="preserve">Methodiek en schaal</w:t>
      </w:r>
    </w:p>
    <w:p>
      <w:pPr>
        <w:numPr>
          <w:ilvl w:val="0"/>
          <w:numId w:val="1"/>
        </w:numPr>
        <w:spacing w:lineRule="auto"/>
      </w:pPr>
      <w:r>
        <w:rPr/>
        <w:t xml:space="preserve">Kans en Impact per risico op schaal 1–5 (1=zeer laag, 5=zeer hoog). Score = Kans x Impact.</w:t>
      </w:r>
    </w:p>
    <w:p>
      <w:pPr>
        <w:numPr>
          <w:ilvl w:val="0"/>
          <w:numId w:val="1"/>
        </w:numPr>
        <w:spacing w:lineRule="auto"/>
      </w:pPr>
      <w:r>
        <w:rPr/>
        <w:t xml:space="preserve">Drempelwaarden: Hoog ≥12 (direct actief managen), Middel 8–11 (strak monitoren), Laag ≤7 (monitoren).</w:t>
      </w:r>
    </w:p>
    <w:p>
      <w:pPr>
        <w:numPr>
          <w:ilvl w:val="0"/>
          <w:numId w:val="1"/>
        </w:numPr>
        <w:spacing w:lineRule="auto"/>
      </w:pPr>
      <w:r>
        <w:rPr/>
        <w:t xml:space="preserve">PDCA per maatregel is uitgewerkt met tijd, norm, eigenaar en controlefrequentie.</w:t>
      </w:r>
    </w:p>
    <w:p>
      <w:pPr>
        <w:numPr>
          <w:ilvl w:val="0"/>
          <w:numId w:val="1"/>
        </w:numPr>
        <w:spacing w:lineRule="auto"/>
      </w:pPr>
      <w:r>
        <w:rPr/>
        <w:t xml:space="preserve">KPI’s: KPI1 Op tijd geleverd ≥98%; KPI2 Klanttevredenheid ≥8,2; KPI3 Allergenen-fouten 0; KPI4 Foodwaste &lt;3%; KPI5 Lokaal/regionaal ≥30%; KPI6 Biologisch ≥25%; KPI7 Verpakking herbruikbaar/retour 100%; KPI8 Systeembeschikbaarheid bestelsysteem ≥99,5%.</w:t>
      </w:r>
    </w:p>
    <w:p>
      <w:pPr>
        <w:spacing w:lineRule="auto"/>
      </w:pPr>
      <w:r>
        <w:rPr/>
        <w:t xml:space="preserve">Tactische werkpakketten (W-xx)</w:t>
      </w:r>
    </w:p>
    <w:p>
      <w:pPr>
        <w:numPr>
          <w:ilvl w:val="0"/>
          <w:numId w:val="2"/>
        </w:numPr>
        <w:spacing w:lineRule="auto"/>
      </w:pPr>
      <w:r>
        <w:rPr/>
        <w:t xml:space="preserve">W-01 Voedselveiligheid (HACCP/ISO 22000)</w:t>
      </w:r>
    </w:p>
    <w:p>
      <w:pPr>
        <w:numPr>
          <w:ilvl w:val="0"/>
          <w:numId w:val="2"/>
        </w:numPr>
        <w:spacing w:lineRule="auto"/>
      </w:pPr>
      <w:r>
        <w:rPr/>
        <w:t xml:space="preserve">W-02 Allergenen &amp; dieetprofielen (EU 1169/2011)</w:t>
      </w:r>
    </w:p>
    <w:p>
      <w:pPr>
        <w:numPr>
          <w:ilvl w:val="0"/>
          <w:numId w:val="2"/>
        </w:numPr>
        <w:spacing w:lineRule="auto"/>
      </w:pPr>
      <w:r>
        <w:rPr/>
        <w:t xml:space="preserve">W-03 Duurzame inkoop (lokaal/bio)</w:t>
      </w:r>
    </w:p>
    <w:p>
      <w:pPr>
        <w:numPr>
          <w:ilvl w:val="0"/>
          <w:numId w:val="2"/>
        </w:numPr>
        <w:spacing w:lineRule="auto"/>
      </w:pPr>
      <w:r>
        <w:rPr/>
        <w:t xml:space="preserve">W-04 Foodwaste &amp; zero-waste</w:t>
      </w:r>
    </w:p>
    <w:p>
      <w:pPr>
        <w:numPr>
          <w:ilvl w:val="0"/>
          <w:numId w:val="2"/>
        </w:numPr>
        <w:spacing w:lineRule="auto"/>
      </w:pPr>
      <w:r>
        <w:rPr/>
        <w:t xml:space="preserve">W-05 Logistiek &amp; tijdvensters 11:00–13:30 (multi-site)</w:t>
      </w:r>
    </w:p>
    <w:p>
      <w:pPr>
        <w:numPr>
          <w:ilvl w:val="0"/>
          <w:numId w:val="2"/>
        </w:numPr>
        <w:spacing w:lineRule="auto"/>
      </w:pPr>
      <w:r>
        <w:rPr/>
        <w:t xml:space="preserve">W-06 Bestelsysteem &amp; data (GDPR)</w:t>
      </w:r>
    </w:p>
    <w:p>
      <w:pPr>
        <w:numPr>
          <w:ilvl w:val="0"/>
          <w:numId w:val="2"/>
        </w:numPr>
        <w:spacing w:lineRule="auto"/>
      </w:pPr>
      <w:r>
        <w:rPr/>
        <w:t xml:space="preserve">W-07 Capaciteitsplanning ≥500 couverts/dag</w:t>
      </w:r>
    </w:p>
    <w:p>
      <w:pPr>
        <w:numPr>
          <w:ilvl w:val="0"/>
          <w:numId w:val="2"/>
        </w:numPr>
        <w:spacing w:lineRule="auto"/>
      </w:pPr>
      <w:r>
        <w:rPr/>
        <w:t xml:space="preserve">W-08 Klantbeleving &amp; klachten</w:t>
      </w:r>
    </w:p>
    <w:p>
      <w:pPr>
        <w:numPr>
          <w:ilvl w:val="0"/>
          <w:numId w:val="2"/>
        </w:numPr>
        <w:spacing w:lineRule="auto"/>
      </w:pPr>
      <w:r>
        <w:rPr/>
        <w:t xml:space="preserve">W-09 Contract- &amp; SLA-sturing</w:t>
      </w:r>
    </w:p>
    <w:p>
      <w:pPr>
        <w:numPr>
          <w:ilvl w:val="0"/>
          <w:numId w:val="2"/>
        </w:numPr>
        <w:spacing w:lineRule="auto"/>
      </w:pPr>
      <w:r>
        <w:rPr/>
        <w:t xml:space="preserve">W-10 Business continuity &amp; calamiteiten</w:t>
      </w:r>
    </w:p>
    <w:p>
      <w:pPr>
        <w:numPr>
          <w:ilvl w:val="0"/>
          <w:numId w:val="2"/>
        </w:numPr>
        <w:spacing w:lineRule="auto"/>
      </w:pPr>
      <w:r>
        <w:rPr/>
        <w:t xml:space="preserve">W-11 Opleiden &amp; bekwaamheid</w:t>
      </w:r>
    </w:p>
    <w:p>
      <w:pPr>
        <w:numPr>
          <w:ilvl w:val="0"/>
          <w:numId w:val="2"/>
        </w:numPr>
        <w:spacing w:lineRule="auto"/>
      </w:pPr>
      <w:r>
        <w:rPr/>
        <w:t xml:space="preserve">W-12 Rapportage &amp; dashboards</w:t>
      </w:r>
    </w:p>
    <w:p>
      <w:pPr>
        <w:spacing w:lineRule="auto"/>
      </w:pPr>
      <w:r>
        <w:rPr/>
        <w:t xml:space="preserve">Risicoregister (PDCA per risico opgenomen)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Beheersmaatregel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Eigenaar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 KPI/W-xx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Residual Risk</w:t>
            </w:r>
          </w:p>
        </w:tc>
      </w:t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Allergenen-incident door onjuist etiket of dieetprofiel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per receptuur een digitale allergenenbom en 2e persoon verificatie (4-ogen) in Menu-Engine; deadline T0+2 weken. Do: 100% batch-labels genereren uit systeem; 100% uitgiftecheck met naam/ID voor dieetprofielen dagelijks 11:00–13:30. Check: wekelijkse interne audit (steekproef 2% uitgegeven maaltijden); maandelijkse compliance review met auditrapport. Act: afwijking = directe stop-uitgifte, herlabel binnen 30 min, root cause binnen 24 uur, training betrokken medewerkers binnen 48 uur. Bewijs: allergenenregister, auditlog Menu-Engine, incidentrapportage.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KAM-manager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Mitigatie lopend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KPI3; W-02; W-01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 late levering door files/piekbelasting multi-site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ritplanning met 20% buffertijd en live-ETA; 2 reserve-rijders per dag; SLA-routes per locatie; gereedmeldtijd T-60 min per locatie. Do: dagstart 09:00 met ritcheck; cut-off bestellingen 09:30; pre-load 10:15; vertrek 10:30; live-herplanning bij vertraging &gt;5 min. Check: dagelijks OTIF-rapport per locatie; wekelijkse route-RCA bij OTIF &lt;98%. Act: herontwerp route binnen 5 werkdagen, extra micro-hub activeren bij structurele afwijking &gt;2 weken. Bewijs: telematica-logs, OTIF-dashboard.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Logistiek planner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Mitigatie lopend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KPI1; W-05; W-07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Onvoldoende aandeel lokaal/regionaal (30%) en/of biologisch (25%) door seizoensschaarste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leveranciersportfolio met 2x redundantie per categorie; seizoensinkoopkalender per kwartaal; contractuele minimums (locaal ≥30%, bio ≥25%). Do: menu’s per seizoen minimaal 40% recepten met lokale component en 30% bio-ingrediënten; inkoopblokkade in ERP voor niet-conforme artikelen. Check: maandelijkse spend-analyse; kwartaal-review met leveranciers; steekproef certificaten (SKAL). Act: alternatieve lokale telers inschakelen binnen 10 werkdagen; menu-swaps binnen 48 uur met gelijkwaardige voedingswaarde. Bewijs: inkooprapport, leverancierscertificaten.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Inkoopmanager Duurzaam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Mitigatie lopend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KPI5, KPI6; W-03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Foodwaste &gt;3% door onjuiste forecast/no-shows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forecastmodel op historische patronen + kalender (weer, events); portionering per locatie; donatie/verspillingsstroom vastleggen. Do: dag 09:00 forecast update; productie lock op forecast+5%; realtime bijsturen tot 10:30; uitgifte weging retourbakken; donatie via partner vóór 14:00. Check: dagrapport waste%; weekreview per locatie; maandelijkse verbeterborden. Act: receptuur/portie bijstellen binnen 1 week; communicatie naar gebruikers bij structurele overproductie. Bewijs: weegregistraties, waste-dashboard.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Data-analist Operations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Beheerst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KPI4; W-04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IT-storing bestelsysteem waardoor dieetprofielen/labels niet beschikbaar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active-active hosting met 99,5% uptime; RTO 30 min; fallback naar offline picklijsten die 6u vooraf worden geprint. Do: 24/7 monitoring; automatische failover; noodprocedure uitgifte met kleurcodes dieet. Check: maandelijkse failover-test; wekelijkse uptime-rapportage. Act: patch binnen 24u; post-mortem binnen 48u; extra capacity bij pieken. Bewijs: monitoring-logs, testrapporten.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Beheerst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KPI8, KPI3; W-06; W-02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Personeelstekort (ziekte/piek) leidt tot productie- of uitgifteproblemen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flexpool 20% van bezetting; cross-training 100% kernrollen; rooster 6 weken vooruit. Do: dagstart capaciteitscheck; opschalen uit flexpool binnen 2 uur; outsourcing-backup voor broodjessmeerlijn. Check: wekelijkse bezettingsgraad versus vraag; verzuimmonitoring. Act: wervingsactie binnen 10 dagen &gt;5% tekort; herverdeling taken en lean-aanpassingen. Bewijs: roosters, opleidingsmatrijs.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Operations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Mitigatie lopend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KPI1, KPI2; W-07; W-11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Zero-waste faalt door lage retourgraad herbruikbare verpakkingen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borgsysteem met QR-registratie; retourpunten per locatie (min. 1/50 eters); communicatiecampagne. Do: incentives (statiegeld €1 per item); dagelijkse verzameling en spoelcyclus; rapportage retourgraad. Check: weekrapport retour% per locatie; mystery checks. Act: verplaatsen retourpunten binnen 5 werkdagen &lt;85% retour; extra communicatie; escalatie naar locatiemanager. Bewijs: QR-retourlogs, schoonmaakregistraties.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Sustainability 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Mitigatie lopend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KPI7; W-04; W-05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Temperatuurketen doorbroken tijdens transport of uitgifte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koel-/warmkisten met dataloggers; laad-/losprocedures ≤10 min; kritische grens 0–4°C koud, ≥60°C warm. Do: 100% ritten met logger; kernthermometer bij eerste en laatste uitgiftepunt. Check: dagelijkse download loggerdata; afwijkingsrapport. Act: productblokkade bij overschrijding; retraining binnen 48u; onderhoud materieel binnen 72u. Bewijs: temperatuur-logs, kalibratiecertificaten.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KAM-manager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Beheerst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KPI1, KPI2; W-01; W-05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Kostenstijging grondstoffen leidt tot suboptimale substitutie of kwaliteitsverlies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indexatiemechanisme conform contract; alternatieve gelijkwaardige ingrediëntenlijst vooraf gevalideerd; prijs-/kwaliteitbord. Do: bij ≥5% stijging trigger herberekening met menupaspoort; vervanging alleen na KAM- en smaakpanel akkoord. Check: maandelijkse COGS-rapportage; klachtmonitoring. Act: menu-engine herontwerp binnen 10 dagen; leveranciersheronderhandeling; communicatie naar klant. Bewijs: COGS-overzichten, smaakpanelnotulen.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Mitigatie lopend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KPI2, KPI5, KPI6; W-03; W-09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Klanttevredenheid &lt;8,2 door onvoldoende variatie/smaak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seizoensmenu-rotatie 8-wekelijks; minimaal 30% vegetarisch, 10% vegan en glutenvrij aanbod; panel per locatie. Do: wekelijkse NPS-pols (QR) en maandelijkse enquête; top-5 verbeteracties uitvoeren binnen 30 dagen. Check: maandrapport tevredenheid; klachten ≤3 per 1.000 couverts. Act: receptuurfinetuning binnen 2 weken; chef on site bij score &lt;8.0. Bewijs: survey-exports, klachtenregister.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Hoofd Productontwikkeling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Mitigatie lopend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KPI2; W-08; W-12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Certificaatverloop (HACCP/ISO 22000/PSL)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compliance-kalender met 90/60/30-dagen alerts; interne pre-audit 8 weken vooraf. Do: jaarlijkse directiebeoordeling; corrigerende acties voor audit. Check: auditbevindingen 0 MAJ; opvolging binnen 10 werkdagen. Act: escalatie naar directie bij MAJ; externe her-audit binnen 30 dagen. Bewijs: certificaten, auditrapporten.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Compliance 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Beheerst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KPI3, KPI2; W-01; W-09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Datalek/GDPR-inbreuk in dieetprofielen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DPIA uitgevoerd; minimale dataprofilering; encryptie at rest/in transit; RBAC. Do: 2FA verplicht; logging van alle toegang; vaste bewaartermijn 12 maanden. Check: kwartaal-penetratietest; maandelijkse logreview. Act: meldplicht procedure ≤72 uur; patch binnen 24 uur; hertraining betrokkenen. Bewijs: DPIA, pentest-rapport, verwerkingsregister.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Mitigatie lopend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KPI8, KPI3; W-06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Kruisverwijzing W-xx → KPI → Bewijs</w:t>
      </w:r>
    </w:p>
    <w:p>
      <w:pPr>
        <w:numPr>
          <w:ilvl w:val="0"/>
          <w:numId w:val="3"/>
        </w:numPr>
        <w:spacing w:lineRule="auto"/>
      </w:pPr>
      <w:r>
        <w:rPr/>
        <w:t xml:space="preserve">W-01 Voedselveiligheid → KPI3, KPI2 → HACCP-plan, temperatuur- en schoonmaaklogs, ISO 22000 certificaat.</w:t>
      </w:r>
    </w:p>
    <w:p>
      <w:pPr>
        <w:numPr>
          <w:ilvl w:val="0"/>
          <w:numId w:val="3"/>
        </w:numPr>
        <w:spacing w:lineRule="auto"/>
      </w:pPr>
      <w:r>
        <w:rPr/>
        <w:t xml:space="preserve">W-02 Allergenen &amp; dieetprofielen → KPI3 → Allergenenregister, 4-ogen checklists, etiket-exports uit Menu-Engine.</w:t>
      </w:r>
    </w:p>
    <w:p>
      <w:pPr>
        <w:numPr>
          <w:ilvl w:val="0"/>
          <w:numId w:val="3"/>
        </w:numPr>
        <w:spacing w:lineRule="auto"/>
      </w:pPr>
      <w:r>
        <w:rPr/>
        <w:t xml:space="preserve">W-03 Duurzame inkoop → KPI5, KPI6 → Spend-analyses, leverancierscontracten, SKAL/biocertificaten.</w:t>
      </w:r>
    </w:p>
    <w:p>
      <w:pPr>
        <w:numPr>
          <w:ilvl w:val="0"/>
          <w:numId w:val="3"/>
        </w:numPr>
        <w:spacing w:lineRule="auto"/>
      </w:pPr>
      <w:r>
        <w:rPr/>
        <w:t xml:space="preserve">W-04 Foodwaste &amp; zero-waste → KPI4, KPI7 → Weegdata, QR-retourlogs, donatiebonnen.</w:t>
      </w:r>
    </w:p>
    <w:p>
      <w:pPr>
        <w:numPr>
          <w:ilvl w:val="0"/>
          <w:numId w:val="3"/>
        </w:numPr>
        <w:spacing w:lineRule="auto"/>
      </w:pPr>
      <w:r>
        <w:rPr/>
        <w:t xml:space="preserve">W-05 Logistiek &amp; tijdvensters → KPI1 → Telematica-logs, OTIF-rapporten, ritplannen.</w:t>
      </w:r>
    </w:p>
    <w:p>
      <w:pPr>
        <w:numPr>
          <w:ilvl w:val="0"/>
          <w:numId w:val="3"/>
        </w:numPr>
        <w:spacing w:lineRule="auto"/>
      </w:pPr>
      <w:r>
        <w:rPr/>
        <w:t xml:space="preserve">W-06 Bestelsysteem &amp; data → KPI8, KPI3 → Uptime-rapporten, failover-testen, DPIA, access-logs.</w:t>
      </w:r>
    </w:p>
    <w:p>
      <w:pPr>
        <w:numPr>
          <w:ilvl w:val="0"/>
          <w:numId w:val="3"/>
        </w:numPr>
        <w:spacing w:lineRule="auto"/>
      </w:pPr>
      <w:r>
        <w:rPr/>
        <w:t xml:space="preserve">W-07 Capaciteitsplanning → KPI1, KPI2 → Roosters, flexpool-registraties, output per uur.</w:t>
      </w:r>
    </w:p>
    <w:p>
      <w:pPr>
        <w:numPr>
          <w:ilvl w:val="0"/>
          <w:numId w:val="3"/>
        </w:numPr>
        <w:spacing w:lineRule="auto"/>
      </w:pPr>
      <w:r>
        <w:rPr/>
        <w:t xml:space="preserve">W-08 Klantbeleving → KPI2 → Enquête-exports, klachtenregister, verbeterborden.</w:t>
      </w:r>
    </w:p>
    <w:p>
      <w:pPr>
        <w:numPr>
          <w:ilvl w:val="0"/>
          <w:numId w:val="3"/>
        </w:numPr>
        <w:spacing w:lineRule="auto"/>
      </w:pPr>
      <w:r>
        <w:rPr/>
        <w:t xml:space="preserve">W-09 Contract- &amp; SLA-sturing → KPI1–KPI7 → SLA-dashboards, directiebeoordeling, management reviews.</w:t>
      </w:r>
    </w:p>
    <w:p>
      <w:pPr>
        <w:numPr>
          <w:ilvl w:val="0"/>
          <w:numId w:val="3"/>
        </w:numPr>
        <w:spacing w:lineRule="auto"/>
      </w:pPr>
      <w:r>
        <w:rPr/>
        <w:t xml:space="preserve">W-11 Opleiden &amp; bekwaamheid → KPI1–KPI4 → Opleidingsmatrijs, toetsresultaten.</w:t>
      </w:r>
    </w:p>
    <w:p>
      <w:pPr>
        <w:numPr>
          <w:ilvl w:val="0"/>
          <w:numId w:val="3"/>
        </w:numPr>
        <w:spacing w:lineRule="auto"/>
      </w:pPr>
      <w:r>
        <w:rPr/>
        <w:t xml:space="preserve">W-12 Rapportage &amp; dashboards → KPI1–KPI8 → Power BI-dashboards, datakwaliteitsrapporten.</w:t>
      </w:r>
    </w:p>
    <w:p>
      <w:pPr>
        <w:spacing w:lineRule="auto"/>
      </w:pPr>
      <w:r>
        <w:rPr/>
        <w:t xml:space="preserve">Sturings- en rapportageafspraken</w:t>
      </w:r>
    </w:p>
    <w:p>
      <w:pPr>
        <w:numPr>
          <w:ilvl w:val="0"/>
          <w:numId w:val="4"/>
        </w:numPr>
        <w:spacing w:lineRule="auto"/>
      </w:pPr>
      <w:r>
        <w:rPr/>
        <w:t xml:space="preserve">Dagelijks: OTIF, temperatuurketen, allergenenafwijkingen, incidentmeldingen.</w:t>
      </w:r>
    </w:p>
    <w:p>
      <w:pPr>
        <w:numPr>
          <w:ilvl w:val="0"/>
          <w:numId w:val="4"/>
        </w:numPr>
        <w:spacing w:lineRule="auto"/>
      </w:pPr>
      <w:r>
        <w:rPr/>
        <w:t xml:space="preserve">Wekelijks: route-RCA, waste-review, klachten/verbeteracties, bezettingsgraad.</w:t>
      </w:r>
    </w:p>
    <w:p>
      <w:pPr>
        <w:numPr>
          <w:ilvl w:val="0"/>
          <w:numId w:val="4"/>
        </w:numPr>
        <w:spacing w:lineRule="auto"/>
      </w:pPr>
      <w:r>
        <w:rPr/>
        <w:t xml:space="preserve">Maandelijks: KPI-overzicht (KPI1–KPI8), inkoopmix lokaal/bio, uptime IT, tevredenheid.</w:t>
      </w:r>
    </w:p>
    <w:p>
      <w:pPr>
        <w:numPr>
          <w:ilvl w:val="0"/>
          <w:numId w:val="4"/>
        </w:numPr>
        <w:spacing w:lineRule="auto"/>
      </w:pPr>
      <w:r>
        <w:rPr/>
        <w:t xml:space="preserve">Per kwartaal: leveranciersreviews, DPIA/pentest, directiebeoordeling voeding/kwaliteit.</w:t>
      </w:r>
    </w:p>
    <w:p>
      <w:pPr>
        <w:numPr>
          <w:ilvl w:val="0"/>
          <w:numId w:val="4"/>
        </w:numPr>
        <w:spacing w:lineRule="auto"/>
      </w:pPr>
      <w:r>
        <w:rPr/>
        <w:t xml:space="preserve">Escalatie: Rood (Hoog, score ≥12) binnen 24 uur naar Contractmanager en opdrachtgever; Amber (8–11) in weekrapport; Groen (≤7) in maandrapport.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Risicoregister</dc:title>
  <dc:subject/>
  <dc:creator>html-to-docx</dc:creator>
  <cp:keywords>html-to-docx</cp:keywords>
  <dc:description/>
  <cp:lastModifiedBy>html-to-docx</cp:lastModifiedBy>
  <cp:revision>1</cp:revision>
  <dcterms:created xsi:type="dcterms:W3CDTF">2025-11-04T09:23:04.643Z</dcterms:created>
  <dcterms:modified xsi:type="dcterms:W3CDTF">2025-11-04T09:23:04.643Z</dcterms:modified>
</cp:coreProperties>
</file>