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Assumpties &amp; Uitsluitingen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11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Aannames &amp; Uitsluitingen – Raamovereenkomst Catering- en Horecadiensten voor Gemeente Middenstad (aanbestedende dienst: NVAO)</w:t>
      </w:r>
    </w:p>
    <w:p>
      <w:pPr>
        <w:spacing w:lineRule="auto"/>
      </w:pPr>
      <w:r>
        <w:rPr/>
        <w:t xml:space="preserve">Doel en context</w:t>
      </w:r>
    </w:p>
    <w:p>
      <w:pPr>
        <w:numPr>
          <w:ilvl w:val="0"/>
          <w:numId w:val="1"/>
        </w:numPr>
        <w:spacing w:lineRule="auto"/>
      </w:pPr>
      <w:r>
        <w:rPr/>
        <w:t xml:space="preserve">Doel: Vastleggen van eenduidige aannames, juridische uitsluitingen en financiële consequenties voor de ICT-ondersteuning van catering- en horecadiensten door Uno Automatiseringdiensten B.V. (hierna: Uno) binnen een EMVI-raamovereenkomst.</w:t>
      </w:r>
    </w:p>
    <w:p>
      <w:pPr>
        <w:numPr>
          <w:ilvl w:val="0"/>
          <w:numId w:val="1"/>
        </w:numPr>
        <w:spacing w:lineRule="auto"/>
      </w:pPr>
      <w:r>
        <w:rPr/>
        <w:t xml:space="preserve">Relevantie: De primaire dienstverlening van Uno betreft ICT-beheer, cloud, infrastructuur en security. Operationele cateringactiviteiten (food &amp; beverage) vallen buiten onze scope.</w:t>
      </w:r>
    </w:p>
    <w:p>
      <w:pPr>
        <w:numPr>
          <w:ilvl w:val="0"/>
          <w:numId w:val="1"/>
        </w:numPr>
        <w:spacing w:lineRule="auto"/>
      </w:pPr>
      <w:r>
        <w:rPr/>
        <w:t xml:space="preserve">Kaders: ISO 9001 en ISO 27001 gecertificeerd; AVG-conform; PDCA-gestuurd.</w:t>
      </w:r>
    </w:p>
    <w:p>
      <w:pPr>
        <w:spacing w:lineRule="auto"/>
      </w:pPr>
      <w:r>
        <w:rPr/>
        <w:t xml:space="preserve">Reikwijdte en kern­aannames (W-xx; SMART, PDCA-conform)</w:t>
      </w:r>
    </w:p>
    <w:p>
      <w:pPr>
        <w:numPr>
          <w:ilvl w:val="0"/>
          <w:numId w:val="2"/>
        </w:numPr>
        <w:spacing w:lineRule="auto"/>
      </w:pPr>
      <w:r>
        <w:rPr/>
        <w:t xml:space="preserve">W-01 Kassasystemen/IoT-connectiviteit</w:t>
      </w:r>
    </w:p>
    <w:p>
      <w:pPr>
        <w:numPr>
          <w:ilvl w:val="1"/>
          <w:numId w:val="3"/>
        </w:numPr>
        <w:spacing w:lineRule="auto"/>
      </w:pPr>
      <w:r>
        <w:rPr/>
        <w:t xml:space="preserve">Aanname: Aanbestedende dienst levert gecertificeerde POS/keukenapparatuur; Uno levert netwerk, secure connectiviteit en monitoring.</w:t>
      </w:r>
    </w:p>
    <w:p>
      <w:pPr>
        <w:numPr>
          <w:ilvl w:val="1"/>
          <w:numId w:val="3"/>
        </w:numPr>
        <w:spacing w:lineRule="auto"/>
      </w:pPr>
      <w:r>
        <w:rPr/>
        <w:t xml:space="preserve">KPI: 99,8% netwerkbeschikbaarheid/locatie per maand; incident-responsetijd P1 ≤ 60 min.</w:t>
      </w:r>
    </w:p>
    <w:p>
      <w:pPr>
        <w:numPr>
          <w:ilvl w:val="1"/>
          <w:numId w:val="3"/>
        </w:numPr>
        <w:spacing w:lineRule="auto"/>
      </w:pPr>
      <w:r>
        <w:rPr/>
        <w:t xml:space="preserve">PDCA: Plan netwerkdesign; Do implementatie; Check uptime-rapportage maandelijks; Act verbeterplan bij &lt;99,8%.</w:t>
      </w:r>
    </w:p>
    <w:p>
      <w:pPr>
        <w:numPr>
          <w:ilvl w:val="0"/>
          <w:numId w:val="2"/>
        </w:numPr>
        <w:spacing w:lineRule="auto"/>
      </w:pPr>
      <w:r>
        <w:rPr/>
        <w:t xml:space="preserve">W-02 Cloud- en platformbeheer</w:t>
      </w:r>
    </w:p>
    <w:p>
      <w:pPr>
        <w:numPr>
          <w:ilvl w:val="1"/>
          <w:numId w:val="4"/>
        </w:numPr>
        <w:spacing w:lineRule="auto"/>
      </w:pPr>
      <w:r>
        <w:rPr/>
        <w:t xml:space="preserve">Aanname: Hosting in EU-datacenters; identity via SAML/OIDC vanuit klant-IdP.</w:t>
      </w:r>
    </w:p>
    <w:p>
      <w:pPr>
        <w:numPr>
          <w:ilvl w:val="1"/>
          <w:numId w:val="4"/>
        </w:numPr>
        <w:spacing w:lineRule="auto"/>
      </w:pPr>
      <w:r>
        <w:rPr/>
        <w:t xml:space="preserve">KPI: 99,9% service-uptime maand; changes volgens CAB ≤ 5 werkdagen doorlooptijd.</w:t>
      </w:r>
    </w:p>
    <w:p>
      <w:pPr>
        <w:numPr>
          <w:ilvl w:val="1"/>
          <w:numId w:val="4"/>
        </w:numPr>
        <w:spacing w:lineRule="auto"/>
      </w:pPr>
      <w:r>
        <w:rPr/>
        <w:t xml:space="preserve">PDCA-cyclus per release; security-patch venster maandelijks.</w:t>
      </w:r>
    </w:p>
    <w:p>
      <w:pPr>
        <w:numPr>
          <w:ilvl w:val="0"/>
          <w:numId w:val="2"/>
        </w:numPr>
        <w:spacing w:lineRule="auto"/>
      </w:pPr>
      <w:r>
        <w:rPr/>
        <w:t xml:space="preserve">W-03 Service &amp; Support</w:t>
      </w:r>
    </w:p>
    <w:p>
      <w:pPr>
        <w:numPr>
          <w:ilvl w:val="1"/>
          <w:numId w:val="5"/>
        </w:numPr>
        <w:spacing w:lineRule="auto"/>
      </w:pPr>
      <w:r>
        <w:rPr/>
        <w:t xml:space="preserve">Aanname: Servicetijden 08:00–18:00 CET ma–vr; 24/7 optioneel op separate opdracht.</w:t>
      </w:r>
    </w:p>
    <w:p>
      <w:pPr>
        <w:numPr>
          <w:ilvl w:val="1"/>
          <w:numId w:val="5"/>
        </w:numPr>
        <w:spacing w:lineRule="auto"/>
      </w:pPr>
      <w:r>
        <w:rPr/>
        <w:t xml:space="preserve">KPI: First response P2 ≤ 4 uur; Oplostijd P3 ≤ 3 werkdagen.</w:t>
      </w:r>
    </w:p>
    <w:p>
      <w:pPr>
        <w:numPr>
          <w:ilvl w:val="1"/>
          <w:numId w:val="5"/>
        </w:numPr>
        <w:spacing w:lineRule="auto"/>
      </w:pPr>
      <w:r>
        <w:rPr/>
        <w:t xml:space="preserve">PDCA: KTO per kwartaal; trendanalyse tickets; verbeteracties met eigenaar en deadline.</w:t>
      </w:r>
    </w:p>
    <w:p>
      <w:pPr>
        <w:numPr>
          <w:ilvl w:val="0"/>
          <w:numId w:val="2"/>
        </w:numPr>
        <w:spacing w:lineRule="auto"/>
      </w:pPr>
      <w:r>
        <w:rPr/>
        <w:t xml:space="preserve">W-04 Datakoppelingen/rapportages</w:t>
      </w:r>
    </w:p>
    <w:p>
      <w:pPr>
        <w:numPr>
          <w:ilvl w:val="1"/>
          <w:numId w:val="6"/>
        </w:numPr>
        <w:spacing w:lineRule="auto"/>
      </w:pPr>
      <w:r>
        <w:rPr/>
        <w:t xml:space="preserve">Aanname: Toegang tot APIs van leverancier (POS/financieel); datakwaliteit door bronverantwoordelijke.</w:t>
      </w:r>
    </w:p>
    <w:p>
      <w:pPr>
        <w:numPr>
          <w:ilvl w:val="1"/>
          <w:numId w:val="6"/>
        </w:numPr>
        <w:spacing w:lineRule="auto"/>
      </w:pPr>
      <w:r>
        <w:rPr/>
        <w:t xml:space="preserve">KPI: 98% succesvolle ETL-jobs; dataverversing ≤ 24 uur.</w:t>
      </w:r>
    </w:p>
    <w:p>
      <w:pPr>
        <w:numPr>
          <w:ilvl w:val="1"/>
          <w:numId w:val="6"/>
        </w:numPr>
        <w:spacing w:lineRule="auto"/>
      </w:pPr>
      <w:r>
        <w:rPr/>
        <w:t xml:space="preserve">PDCA: Datakwaliteitsoverleg per maand; issue backlog en cleanup.</w:t>
      </w:r>
    </w:p>
    <w:p>
      <w:pPr>
        <w:numPr>
          <w:ilvl w:val="0"/>
          <w:numId w:val="2"/>
        </w:numPr>
        <w:spacing w:lineRule="auto"/>
      </w:pPr>
      <w:r>
        <w:rPr/>
        <w:t xml:space="preserve">W-05 Onboarding/migratie</w:t>
      </w:r>
    </w:p>
    <w:p>
      <w:pPr>
        <w:numPr>
          <w:ilvl w:val="1"/>
          <w:numId w:val="7"/>
        </w:numPr>
        <w:spacing w:lineRule="auto"/>
      </w:pPr>
      <w:r>
        <w:rPr/>
        <w:t xml:space="preserve">Aanname: Toegang tot locaties en change-windows; cutovers buiten lunch/diner-piek.</w:t>
      </w:r>
    </w:p>
    <w:p>
      <w:pPr>
        <w:numPr>
          <w:ilvl w:val="1"/>
          <w:numId w:val="7"/>
        </w:numPr>
        <w:spacing w:lineRule="auto"/>
      </w:pPr>
      <w:r>
        <w:rPr/>
        <w:t xml:space="preserve">KPI: Onboarding per locatie ≤ 10 werkdagen na akkoord ontwerp.</w:t>
      </w:r>
    </w:p>
    <w:p>
      <w:pPr>
        <w:numPr>
          <w:ilvl w:val="1"/>
          <w:numId w:val="7"/>
        </w:numPr>
        <w:spacing w:lineRule="auto"/>
      </w:pPr>
      <w:r>
        <w:rPr/>
        <w:t xml:space="preserve">PDCA: Go/no-go checklist; evaluatie binnen 5 werkdagen na livegang.</w:t>
      </w:r>
    </w:p>
    <w:p>
      <w:pPr>
        <w:numPr>
          <w:ilvl w:val="0"/>
          <w:numId w:val="2"/>
        </w:numPr>
        <w:spacing w:lineRule="auto"/>
      </w:pPr>
      <w:r>
        <w:rPr/>
        <w:t xml:space="preserve">W-06 Continuïteit/BCDR</w:t>
      </w:r>
    </w:p>
    <w:p>
      <w:pPr>
        <w:numPr>
          <w:ilvl w:val="1"/>
          <w:numId w:val="8"/>
        </w:numPr>
        <w:spacing w:lineRule="auto"/>
      </w:pPr>
      <w:r>
        <w:rPr/>
        <w:t xml:space="preserve">Aanname: Back-up retentie 30 dagen; restore-tests per kwartaal.</w:t>
      </w:r>
    </w:p>
    <w:p>
      <w:pPr>
        <w:numPr>
          <w:ilvl w:val="1"/>
          <w:numId w:val="8"/>
        </w:numPr>
        <w:spacing w:lineRule="auto"/>
      </w:pPr>
      <w:r>
        <w:rPr/>
        <w:t xml:space="preserve">KPI: RTO ≤ 4 uur; RPO ≤ 1 uur voor kritieke componenten.</w:t>
      </w:r>
    </w:p>
    <w:p>
      <w:pPr>
        <w:numPr>
          <w:ilvl w:val="1"/>
          <w:numId w:val="8"/>
        </w:numPr>
        <w:spacing w:lineRule="auto"/>
      </w:pPr>
      <w:r>
        <w:rPr/>
        <w:t xml:space="preserve">PDCA: Testverslag en verbetermaatregelen elk kwartaal.</w:t>
      </w:r>
    </w:p>
    <w:p>
      <w:pPr>
        <w:numPr>
          <w:ilvl w:val="0"/>
          <w:numId w:val="2"/>
        </w:numPr>
        <w:spacing w:lineRule="auto"/>
      </w:pPr>
      <w:r>
        <w:rPr/>
        <w:t xml:space="preserve">W-07 Duurzaamheid</w:t>
      </w:r>
    </w:p>
    <w:p>
      <w:pPr>
        <w:numPr>
          <w:ilvl w:val="1"/>
          <w:numId w:val="9"/>
        </w:numPr>
        <w:spacing w:lineRule="auto"/>
      </w:pPr>
      <w:r>
        <w:rPr/>
        <w:t xml:space="preserve">Aanname: Gebruik energie-efficiënte infrastructuur; rapportage CO2e over ICT-onderdeel.</w:t>
      </w:r>
    </w:p>
    <w:p>
      <w:pPr>
        <w:numPr>
          <w:ilvl w:val="1"/>
          <w:numId w:val="9"/>
        </w:numPr>
        <w:spacing w:lineRule="auto"/>
      </w:pPr>
      <w:r>
        <w:rPr/>
        <w:t xml:space="preserve">KPI: -5% kWh/locatie/jaar ICT-stroomverbruik versus nulmeting.</w:t>
      </w:r>
    </w:p>
    <w:p>
      <w:pPr>
        <w:numPr>
          <w:ilvl w:val="1"/>
          <w:numId w:val="9"/>
        </w:numPr>
        <w:spacing w:lineRule="auto"/>
      </w:pPr>
      <w:r>
        <w:rPr/>
        <w:t xml:space="preserve">PDCA: Jaarplan reductie, halfjaarlijkse review en bijsturing.</w:t>
      </w:r>
    </w:p>
    <w:p>
      <w:pPr>
        <w:numPr>
          <w:ilvl w:val="0"/>
          <w:numId w:val="2"/>
        </w:numPr>
        <w:spacing w:lineRule="auto"/>
      </w:pPr>
      <w:r>
        <w:rPr/>
        <w:t xml:space="preserve">W-08 Contract &amp; SLA</w:t>
      </w:r>
    </w:p>
    <w:p>
      <w:pPr>
        <w:numPr>
          <w:ilvl w:val="1"/>
          <w:numId w:val="10"/>
        </w:numPr>
        <w:spacing w:lineRule="auto"/>
      </w:pPr>
      <w:r>
        <w:rPr/>
        <w:t xml:space="preserve">Aanname: ICT-voorwaarden conform GIBIT 2020 of gelijkwaardig; afwijkingen schriftelijk.</w:t>
      </w:r>
    </w:p>
    <w:p>
      <w:pPr>
        <w:numPr>
          <w:ilvl w:val="1"/>
          <w:numId w:val="10"/>
        </w:numPr>
        <w:spacing w:lineRule="auto"/>
      </w:pPr>
      <w:r>
        <w:rPr/>
        <w:t xml:space="preserve">KPI: 100% compliant change-/incident-registratie; auditbevindingen = 0 major.</w:t>
      </w:r>
    </w:p>
    <w:p>
      <w:pPr>
        <w:numPr>
          <w:ilvl w:val="1"/>
          <w:numId w:val="10"/>
        </w:numPr>
        <w:spacing w:lineRule="auto"/>
      </w:pPr>
      <w:r>
        <w:rPr/>
        <w:t xml:space="preserve">PDCA: Contractreview halfjaarlijks; CAPA bij afwijkingen.</w:t>
      </w:r>
    </w:p>
    <w:p>
      <w:pPr>
        <w:spacing w:lineRule="auto"/>
      </w:pPr>
      <w:r>
        <w:rPr/>
        <w:t xml:space="preserve">Kruisverband W-xx ↔ KPI ↔ Risico ↔ Bewijs</w:t>
      </w:r>
    </w:p>
    <w:p>
      <w:pPr>
        <w:numPr>
          <w:ilvl w:val="0"/>
          <w:numId w:val="11"/>
        </w:numPr>
        <w:spacing w:lineRule="auto"/>
      </w:pPr>
      <w:r>
        <w:rPr/>
        <w:t xml:space="preserve">W-01: KPI uptime 99,8% ↔ Risico: falende connectiviteit ↔ Bewijs: monitoring-dashboards, uptime-rapporten.</w:t>
      </w:r>
    </w:p>
    <w:p>
      <w:pPr>
        <w:numPr>
          <w:ilvl w:val="0"/>
          <w:numId w:val="11"/>
        </w:numPr>
        <w:spacing w:lineRule="auto"/>
      </w:pPr>
      <w:r>
        <w:rPr/>
        <w:t xml:space="preserve">W-02: 99,9% service-uptime ↔ Risico: platformstoring ↔ Bewijs: cloud SLA-logs, change-logs.</w:t>
      </w:r>
    </w:p>
    <w:p>
      <w:pPr>
        <w:numPr>
          <w:ilvl w:val="0"/>
          <w:numId w:val="11"/>
        </w:numPr>
        <w:spacing w:lineRule="auto"/>
      </w:pPr>
      <w:r>
        <w:rPr/>
        <w:t xml:space="preserve">W-03: Responstijden ↔ Risico: servicevertraging ↔ Bewijs: ticketing-extracten (ITSM).</w:t>
      </w:r>
    </w:p>
    <w:p>
      <w:pPr>
        <w:numPr>
          <w:ilvl w:val="0"/>
          <w:numId w:val="11"/>
        </w:numPr>
        <w:spacing w:lineRule="auto"/>
      </w:pPr>
      <w:r>
        <w:rPr/>
        <w:t xml:space="preserve">W-04: 98% ETL-succes ↔ Risico: foutieve rapportage ↔ Bewijs: ETL-runbooks, controlelogs.</w:t>
      </w:r>
    </w:p>
    <w:p>
      <w:pPr>
        <w:numPr>
          <w:ilvl w:val="0"/>
          <w:numId w:val="11"/>
        </w:numPr>
        <w:spacing w:lineRule="auto"/>
      </w:pPr>
      <w:r>
        <w:rPr/>
        <w:t xml:space="preserve">W-05: 10 wd onboarding ↔ Risico: openingsvertraging ↔ Bewijs: go-live checklists, sign-offs.</w:t>
      </w:r>
    </w:p>
    <w:p>
      <w:pPr>
        <w:numPr>
          <w:ilvl w:val="0"/>
          <w:numId w:val="11"/>
        </w:numPr>
        <w:spacing w:lineRule="auto"/>
      </w:pPr>
      <w:r>
        <w:rPr/>
        <w:t xml:space="preserve">W-06: RTO/RPO ↔ Risico: omzetverlies bij uitval ↔ Bewijs: restore-testrapporten.</w:t>
      </w:r>
    </w:p>
    <w:p>
      <w:pPr>
        <w:numPr>
          <w:ilvl w:val="0"/>
          <w:numId w:val="11"/>
        </w:numPr>
        <w:spacing w:lineRule="auto"/>
      </w:pPr>
      <w:r>
        <w:rPr/>
        <w:t xml:space="preserve">W-07: -5% kWh ↔ Risico: hogere energiekosten/CO2 ↔ Bewijs: energierapporten, configuratie-overzichten.</w:t>
      </w:r>
    </w:p>
    <w:p>
      <w:pPr>
        <w:numPr>
          <w:ilvl w:val="0"/>
          <w:numId w:val="11"/>
        </w:numPr>
        <w:spacing w:lineRule="auto"/>
      </w:pPr>
      <w:r>
        <w:rPr/>
        <w:t xml:space="preserve">W-08: 100% registraties ↔ Risico: non-compliance ↔ Bewijs: auditverslagen, ISO-certificaten.</w:t>
      </w:r>
    </w:p>
    <w:p>
      <w:pPr>
        <w:spacing w:lineRule="auto"/>
      </w:pPr>
      <w:r>
        <w:rPr/>
        <w:t xml:space="preserve">Uitsluitingen (juridisch/operationeel)</w:t>
      </w:r>
    </w:p>
    <w:p>
      <w:pPr>
        <w:numPr>
          <w:ilvl w:val="0"/>
          <w:numId w:val="12"/>
        </w:numPr>
        <w:spacing w:lineRule="auto"/>
      </w:pPr>
      <w:r>
        <w:rPr/>
        <w:t xml:space="preserve">Cateringoperatie: inkoop/bereiding/uitgifte van food &amp; beverages, personeel, roosters, HACCP, allergenenbeheer, kassabeheerprocessen en kasgeld vallen buiten scope.</w:t>
      </w:r>
    </w:p>
    <w:p>
      <w:pPr>
        <w:numPr>
          <w:ilvl w:val="0"/>
          <w:numId w:val="12"/>
        </w:numPr>
        <w:spacing w:lineRule="auto"/>
      </w:pPr>
      <w:r>
        <w:rPr/>
        <w:t xml:space="preserve">Hardwarelevering: levering/onderhoud van keukenapparatuur en POS-hardware uitgesloten, tenzij apart besteld; Uno levert uitsluitend ICT-configuratie en netwerkcomponenten op aanvraag.</w:t>
      </w:r>
    </w:p>
    <w:p>
      <w:pPr>
        <w:numPr>
          <w:ilvl w:val="0"/>
          <w:numId w:val="12"/>
        </w:numPr>
        <w:spacing w:lineRule="auto"/>
      </w:pPr>
      <w:r>
        <w:rPr/>
        <w:t xml:space="preserve">Facilities: schoonmaak, vergunningen, brandveiligheid en bouwkundige aanpassingen uitgesloten.</w:t>
      </w:r>
    </w:p>
    <w:p>
      <w:pPr>
        <w:numPr>
          <w:ilvl w:val="0"/>
          <w:numId w:val="12"/>
        </w:numPr>
        <w:spacing w:lineRule="auto"/>
      </w:pPr>
      <w:r>
        <w:rPr/>
        <w:t xml:space="preserve">Content/licenties: toepassingslicenties van derde leveranciers (POS/ERP) niet inbegrepen; aanschaf/licenties door klant of via separate opdracht.</w:t>
      </w:r>
    </w:p>
    <w:p>
      <w:pPr>
        <w:numPr>
          <w:ilvl w:val="0"/>
          <w:numId w:val="12"/>
        </w:numPr>
        <w:spacing w:lineRule="auto"/>
      </w:pPr>
      <w:r>
        <w:rPr/>
        <w:t xml:space="preserve">Telecommunicatie: WAN/Mobile datacontracten door klant of separate opdracht; Uno configureert maar levert geen mobiele abonnementen.</w:t>
      </w:r>
    </w:p>
    <w:p>
      <w:pPr>
        <w:spacing w:lineRule="auto"/>
      </w:pPr>
      <w:r>
        <w:rPr/>
        <w:t xml:space="preserve">Privacy &amp; Security</w:t>
      </w:r>
    </w:p>
    <w:p>
      <w:pPr>
        <w:numPr>
          <w:ilvl w:val="0"/>
          <w:numId w:val="13"/>
        </w:numPr>
        <w:spacing w:lineRule="auto"/>
      </w:pPr>
      <w:r>
        <w:rPr/>
        <w:t xml:space="preserve">Rollen: Aanbestedende dienst is verwerkingsverantwoordelijke; Uno is verwerker. Verwerkersovereenkomst (AVG, art. 28) vereist.</w:t>
      </w:r>
    </w:p>
    <w:p>
      <w:pPr>
        <w:numPr>
          <w:ilvl w:val="0"/>
          <w:numId w:val="13"/>
        </w:numPr>
        <w:spacing w:lineRule="auto"/>
      </w:pPr>
      <w:r>
        <w:rPr/>
        <w:t xml:space="preserve">Dataminimalisatie en EU-gegevensopslag; DPIA door verantwoordelijke indien noodzakelijk.</w:t>
      </w:r>
    </w:p>
    <w:p>
      <w:pPr>
        <w:numPr>
          <w:ilvl w:val="0"/>
          <w:numId w:val="13"/>
        </w:numPr>
        <w:spacing w:lineRule="auto"/>
      </w:pPr>
      <w:r>
        <w:rPr/>
        <w:t xml:space="preserve">Toegangsbeheer via MFA; logging bewaard 12 maanden; penetratietest jaarlijks op scope ICT.</w:t>
      </w:r>
    </w:p>
    <w:p>
      <w:pPr>
        <w:numPr>
          <w:ilvl w:val="0"/>
          <w:numId w:val="13"/>
        </w:numPr>
        <w:spacing w:lineRule="auto"/>
      </w:pPr>
      <w:r>
        <w:rPr/>
        <w:t xml:space="preserve">Incidentmelding datalekken binnen 24 uur na ontdekking met root cause binnen 5 werkdagen.</w:t>
      </w:r>
    </w:p>
    <w:p>
      <w:pPr>
        <w:spacing w:lineRule="auto"/>
      </w:pPr>
      <w:r>
        <w:rPr/>
        <w:t xml:space="preserve">SLA en onderhoudsvensters</w:t>
      </w:r>
    </w:p>
    <w:p>
      <w:pPr>
        <w:numPr>
          <w:ilvl w:val="0"/>
          <w:numId w:val="14"/>
        </w:numPr>
        <w:spacing w:lineRule="auto"/>
      </w:pPr>
      <w:r>
        <w:rPr/>
        <w:t xml:space="preserve">Standaard onderhoudsvenster: di/doo 22:00–06:00 CET, aangekondigd ≥ 5 werkdagen vooraf.</w:t>
      </w:r>
    </w:p>
    <w:p>
      <w:pPr>
        <w:numPr>
          <w:ilvl w:val="0"/>
          <w:numId w:val="14"/>
        </w:numPr>
        <w:spacing w:lineRule="auto"/>
      </w:pPr>
      <w:r>
        <w:rPr/>
        <w:t xml:space="preserve">Piekuren catering (11:00–14:00, 17:00–20:00) zijn change-free, tenzij P1-incident.</w:t>
      </w:r>
    </w:p>
    <w:p>
      <w:pPr>
        <w:spacing w:lineRule="auto"/>
      </w:pPr>
      <w:r>
        <w:rPr/>
        <w:t xml:space="preserve">Financiële consequenties bij afwijkingen/wijzigingen</w:t>
      </w:r>
    </w:p>
    <w:p>
      <w:pPr>
        <w:numPr>
          <w:ilvl w:val="0"/>
          <w:numId w:val="15"/>
        </w:numPr>
        <w:spacing w:lineRule="auto"/>
      </w:pPr>
      <w:r>
        <w:rPr/>
        <w:t xml:space="preserve">Prijzen: pricing locked voor de beschreven ICT-scope; wijzigingen uitsluitend via schriftelijk wijzigingsverzoek en meerwerk op uurtarief per rol.</w:t>
      </w:r>
    </w:p>
    <w:p>
      <w:pPr>
        <w:numPr>
          <w:ilvl w:val="0"/>
          <w:numId w:val="15"/>
        </w:numPr>
        <w:spacing w:lineRule="auto"/>
      </w:pPr>
      <w:r>
        <w:rPr/>
        <w:t xml:space="preserve">Buiten-scope verzoeken (24/7 support, extra locaties, versneld cutover, on-site standby) worden apart geoffreerd.</w:t>
      </w:r>
    </w:p>
    <w:p>
      <w:pPr>
        <w:numPr>
          <w:ilvl w:val="0"/>
          <w:numId w:val="15"/>
        </w:numPr>
        <w:spacing w:lineRule="auto"/>
      </w:pPr>
      <w:r>
        <w:rPr/>
        <w:t xml:space="preserve">Vertraging door geen/late toegang, ontbrekende informatie of niet-gereed netwerk/elektra leidt tot herplanning; extra inzet wordt nacalculatief gefactureerd.</w:t>
      </w:r>
    </w:p>
    <w:p>
      <w:pPr>
        <w:numPr>
          <w:ilvl w:val="0"/>
          <w:numId w:val="15"/>
        </w:numPr>
        <w:spacing w:lineRule="auto"/>
      </w:pPr>
      <w:r>
        <w:rPr/>
        <w:t xml:space="preserve">Licentie- en clouddienstkosten van derden worden één-op-één doorbelast conform leveranciersvoorwaarden.</w:t>
      </w:r>
    </w:p>
    <w:p>
      <w:pPr>
        <w:spacing w:lineRule="auto"/>
      </w:pPr>
      <w:r>
        <w:rPr/>
        <w:t xml:space="preserve">Garantie</w:t>
      </w:r>
    </w:p>
    <w:p>
      <w:pPr>
        <w:numPr>
          <w:ilvl w:val="0"/>
          <w:numId w:val="16"/>
        </w:numPr>
        <w:spacing w:lineRule="auto"/>
      </w:pPr>
      <w:r>
        <w:rPr/>
        <w:t xml:space="preserve">12 maanden garantie op door Uno geleverde configuraties en implementatiediensten; herstel van door Uno veroorzaakte defecten kosteloos binnen redelijke termijn.</w:t>
      </w:r>
    </w:p>
    <w:p>
      <w:pPr>
        <w:numPr>
          <w:ilvl w:val="0"/>
          <w:numId w:val="16"/>
        </w:numPr>
        <w:spacing w:lineRule="auto"/>
      </w:pPr>
      <w:r>
        <w:rPr/>
        <w:t xml:space="preserve">Uitsluitingen: misbruik, ongeautoriseerde wijzigingen, third-party defects buiten Uno’s invloed.</w:t>
      </w:r>
    </w:p>
    <w:p>
      <w:pPr>
        <w:spacing w:lineRule="auto"/>
      </w:pPr>
      <w:r>
        <w:rPr/>
        <w:t xml:space="preserve">Aansprakelijkheid en recht</w:t>
      </w:r>
    </w:p>
    <w:p>
      <w:pPr>
        <w:numPr>
          <w:ilvl w:val="0"/>
          <w:numId w:val="17"/>
        </w:numPr>
        <w:spacing w:lineRule="auto"/>
      </w:pPr>
      <w:r>
        <w:rPr/>
        <w:t xml:space="preserve">Aansprakelijkheid beperkt tot directe schade en tot maximaal het jaarbedrag over de betreffende prestatie, behoudens opzet/grove schuld en AVG-specifieke verplichtingen conform DPA.</w:t>
      </w:r>
    </w:p>
    <w:p>
      <w:pPr>
        <w:numPr>
          <w:ilvl w:val="0"/>
          <w:numId w:val="17"/>
        </w:numPr>
        <w:spacing w:lineRule="auto"/>
      </w:pPr>
      <w:r>
        <w:rPr/>
        <w:t xml:space="preserve">Toepasselijk recht: Nederlands recht; bevoegde rechter Den Haag, tenzij aanbestedingsdocumenten anders bepalen.</w:t>
      </w:r>
    </w:p>
    <w:p>
      <w:pPr>
        <w:numPr>
          <w:ilvl w:val="0"/>
          <w:numId w:val="17"/>
        </w:numPr>
        <w:spacing w:lineRule="auto"/>
      </w:pPr>
      <w:r>
        <w:rPr/>
        <w:t xml:space="preserve">Voorrang: aanbestedingsstukken en gesloten raamovereenkomst gaan voor op deze aannames waar strijdig.</w:t>
      </w:r>
    </w:p>
    <w:p>
      <w:pPr>
        <w:spacing w:lineRule="auto"/>
      </w:pPr>
      <w:r>
        <w:rPr/>
        <w:t xml:space="preserve">Operationele aannames en randvoorwaarden</w:t>
      </w:r>
    </w:p>
    <w:p>
      <w:pPr>
        <w:numPr>
          <w:ilvl w:val="0"/>
          <w:numId w:val="18"/>
        </w:numPr>
        <w:spacing w:lineRule="auto"/>
      </w:pPr>
      <w:r>
        <w:rPr/>
        <w:t xml:space="preserve">Locatietoegang minimaal 5 werkdagen vooraf bevestigd; bevoegd aanspreekpunt per locatie.</w:t>
      </w:r>
    </w:p>
    <w:p>
      <w:pPr>
        <w:numPr>
          <w:ilvl w:val="0"/>
          <w:numId w:val="18"/>
        </w:numPr>
        <w:spacing w:lineRule="auto"/>
      </w:pPr>
      <w:r>
        <w:rPr/>
        <w:t xml:space="preserve">Minimale netwerkinfrastructuur aanwezig (gescheiden VLAN voor POS, PoE waar nodig).</w:t>
      </w:r>
    </w:p>
    <w:p>
      <w:pPr>
        <w:numPr>
          <w:ilvl w:val="0"/>
          <w:numId w:val="18"/>
        </w:numPr>
        <w:spacing w:lineRule="auto"/>
      </w:pPr>
      <w:r>
        <w:rPr/>
        <w:t xml:space="preserve">Besluitvormingstermijnen: CAB-besluiten binnen 3 werkdagen; inhoudelijke acceptatie testresultaten binnen 5 werkdagen.</w:t>
      </w:r>
    </w:p>
    <w:p>
      <w:pPr>
        <w:numPr>
          <w:ilvl w:val="0"/>
          <w:numId w:val="18"/>
        </w:numPr>
        <w:spacing w:lineRule="auto"/>
      </w:pPr>
      <w:r>
        <w:rPr/>
        <w:t xml:space="preserve">Onboarding-start binnen 10 werkdagen na gunning en beschikbaarheid benodigde informatie.</w:t>
      </w:r>
    </w:p>
    <w:p>
      <w:pPr>
        <w:spacing w:lineRule="auto"/>
      </w:pPr>
      <w:r>
        <w:rPr/>
        <w:t xml:space="preserve">Duurzaamheid en rapportage</w:t>
      </w:r>
    </w:p>
    <w:p>
      <w:pPr>
        <w:numPr>
          <w:ilvl w:val="0"/>
          <w:numId w:val="19"/>
        </w:numPr>
        <w:spacing w:lineRule="auto"/>
      </w:pPr>
      <w:r>
        <w:rPr/>
        <w:t xml:space="preserve">Gebruik van datacenters op hernieuwbare energie waar mogelijk; inzicht in energieverbruik ICT-onderdeel per kwartaal.</w:t>
      </w:r>
    </w:p>
    <w:p>
      <w:pPr>
        <w:numPr>
          <w:ilvl w:val="0"/>
          <w:numId w:val="19"/>
        </w:numPr>
        <w:spacing w:lineRule="auto"/>
      </w:pPr>
      <w:r>
        <w:rPr/>
        <w:t xml:space="preserve">E-waste afvoer via WEEE-conforme partij op separate opdracht.</w:t>
      </w:r>
    </w:p>
    <w:p>
      <w:pPr>
        <w:spacing w:lineRule="auto"/>
      </w:pPr>
      <w:r>
        <w:rPr/>
        <w:t xml:space="preserve">Risico’s bij afwijkingen (selectie)</w:t>
      </w:r>
    </w:p>
    <w:p>
      <w:pPr>
        <w:numPr>
          <w:ilvl w:val="0"/>
          <w:numId w:val="20"/>
        </w:numPr>
        <w:spacing w:lineRule="auto"/>
      </w:pPr>
      <w:r>
        <w:rPr/>
        <w:t xml:space="preserve">Onvoldoende WiFi-dekking → omzetverlies; mitigerend site-survey vooraf; meerkosten voor extra access points via wijziging.</w:t>
      </w:r>
    </w:p>
    <w:p>
      <w:pPr>
        <w:numPr>
          <w:ilvl w:val="0"/>
          <w:numId w:val="20"/>
        </w:numPr>
        <w:spacing w:lineRule="auto"/>
      </w:pPr>
      <w:r>
        <w:rPr/>
        <w:t xml:space="preserve">Onvolledige API-toegang → incomplete rapportages; mitigerend: datacontracten en fallback-export; meerwerk voor connectors.</w:t>
      </w:r>
    </w:p>
    <w:p>
      <w:pPr>
        <w:spacing w:lineRule="auto"/>
      </w:pPr>
      <w:r>
        <w:rPr/>
        <w:t xml:space="preserve">Bewijs en audits</w:t>
      </w:r>
    </w:p>
    <w:p>
      <w:pPr>
        <w:numPr>
          <w:ilvl w:val="0"/>
          <w:numId w:val="21"/>
        </w:numPr>
        <w:spacing w:lineRule="auto"/>
      </w:pPr>
      <w:r>
        <w:rPr/>
        <w:t xml:space="preserve">Beschikbaar: ISO 27001/9001 certificaten, SOC/pen-test samenvattingen, ITSM-rapportages, BCDR-testverslagen, verwerkersovereenkomst op template-basis.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2"/>
        </w:numPr>
        <w:spacing w:lineRule="auto"/>
      </w:pPr>
      <w:r>
        <w:rPr/>
        <w:t xml:space="preserve">Overzicht locaties (adressen, openingstijden, piekuren), Go-Live prioritering.</w:t>
      </w:r>
    </w:p>
    <w:p>
      <w:pPr>
        <w:numPr>
          <w:ilvl w:val="0"/>
          <w:numId w:val="22"/>
        </w:numPr>
        <w:spacing w:lineRule="auto"/>
      </w:pPr>
      <w:r>
        <w:rPr/>
        <w:t xml:space="preserve">Aantal en type POS/keukenapparatuur per locatie en leveranciers/versies.</w:t>
      </w:r>
    </w:p>
    <w:p>
      <w:pPr>
        <w:numPr>
          <w:ilvl w:val="0"/>
          <w:numId w:val="22"/>
        </w:numPr>
        <w:spacing w:lineRule="auto"/>
      </w:pPr>
      <w:r>
        <w:rPr/>
        <w:t xml:space="preserve">Netwerk- en bekabelingsdiagrammen per locatie; beschikbare internet/WAN-capaciteit.</w:t>
      </w:r>
    </w:p>
    <w:p>
      <w:pPr>
        <w:numPr>
          <w:ilvl w:val="0"/>
          <w:numId w:val="22"/>
        </w:numPr>
        <w:spacing w:lineRule="auto"/>
      </w:pPr>
      <w:r>
        <w:rPr/>
        <w:t xml:space="preserve">Bevoegde contactpersonen per locatie en CAB-procesafspraken.</w:t>
      </w:r>
    </w:p>
    <w:p>
      <w:pPr>
        <w:numPr>
          <w:ilvl w:val="0"/>
          <w:numId w:val="22"/>
        </w:numPr>
        <w:spacing w:lineRule="auto"/>
      </w:pPr>
      <w:r>
        <w:rPr/>
        <w:t xml:space="preserve">Gekozen toepassingsstack (POS/ERP), licentiemodel en API-toegang.</w:t>
      </w:r>
    </w:p>
    <w:p>
      <w:pPr>
        <w:numPr>
          <w:ilvl w:val="0"/>
          <w:numId w:val="22"/>
        </w:numPr>
        <w:spacing w:lineRule="auto"/>
      </w:pPr>
      <w:r>
        <w:rPr/>
        <w:t xml:space="preserve">Gewenste SLA-classificaties en eventuele 24/7-dekking.</w:t>
      </w:r>
    </w:p>
    <w:p>
      <w:pPr>
        <w:numPr>
          <w:ilvl w:val="0"/>
          <w:numId w:val="22"/>
        </w:numPr>
        <w:spacing w:lineRule="auto"/>
      </w:pPr>
      <w:r>
        <w:rPr/>
        <w:t xml:space="preserve">Gegevensclassificatie en DPIA-uitkomst (indien van toepassing).</w:t>
      </w:r>
    </w:p>
    <w:p>
      <w:pPr>
        <w:numPr>
          <w:ilvl w:val="0"/>
          <w:numId w:val="22"/>
        </w:numPr>
        <w:spacing w:lineRule="auto"/>
      </w:pPr>
      <w:r>
        <w:rPr/>
        <w:t xml:space="preserve">Specifieke duurzaamheidseisen en rapportageformat (CO2, kWh).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Assumpties &amp; Uitsluitingen</dc:title>
  <dc:subject/>
  <dc:creator>html-to-docx</dc:creator>
  <cp:keywords>html-to-docx</cp:keywords>
  <dc:description/>
  <cp:lastModifiedBy>html-to-docx</cp:lastModifiedBy>
  <cp:revision>1</cp:revision>
  <dcterms:created xsi:type="dcterms:W3CDTF">2025-11-11T22:30:24.486Z</dcterms:created>
  <dcterms:modified xsi:type="dcterms:W3CDTF">2025-11-11T22:30:24.486Z</dcterms:modified>
</cp:coreProperties>
</file>