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Bewijsstukkenbundel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11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Bewijsstukken – Uno Automatiseringdiensten B.V.</w:t>
      </w:r>
    </w:p>
    <w:p>
      <w:pPr>
        <w:spacing w:lineRule="auto"/>
      </w:pPr>
      <w:r>
        <w:rPr/>
        <w:t xml:space="preserve">Doel en scope Deze Bewijsstukkenbundel ondersteunt onze EMVI-inzet voor de raamovereenkomst en toont aantoonbare kwaliteit, risicobeheersing, duurzaamheid en KPI-sturing. Elk bewijs is SMART, PDCA-conform en gekoppeld aan werkpakketten (W-xx), KPI’s en risico’s.</w:t>
      </w:r>
    </w:p>
    <w:p>
      <w:pPr>
        <w:spacing w:lineRule="auto"/>
      </w:pPr>
      <w:r>
        <w:rPr/>
        <w:t xml:space="preserve">Definitie werkpakketten (W-xx)</w:t>
      </w:r>
    </w:p>
    <w:p>
      <w:pPr>
        <w:numPr>
          <w:ilvl w:val="0"/>
          <w:numId w:val="1"/>
        </w:numPr>
        <w:spacing w:lineRule="auto"/>
      </w:pPr>
      <w:r>
        <w:rPr/>
        <w:t xml:space="preserve">W-01 Servicecontinuïteit &amp; Beschikbaarheid</w:t>
      </w:r>
    </w:p>
    <w:p>
      <w:pPr>
        <w:numPr>
          <w:ilvl w:val="0"/>
          <w:numId w:val="1"/>
        </w:numPr>
        <w:spacing w:lineRule="auto"/>
      </w:pPr>
      <w:r>
        <w:rPr/>
        <w:t xml:space="preserve">W-02 Informatiebeveiliging &amp; Privacy</w:t>
      </w:r>
    </w:p>
    <w:p>
      <w:pPr>
        <w:numPr>
          <w:ilvl w:val="0"/>
          <w:numId w:val="1"/>
        </w:numPr>
        <w:spacing w:lineRule="auto"/>
      </w:pPr>
      <w:r>
        <w:rPr/>
        <w:t xml:space="preserve">W-03 Incident-, Major Incident- &amp; Problem Management</w:t>
      </w:r>
    </w:p>
    <w:p>
      <w:pPr>
        <w:numPr>
          <w:ilvl w:val="0"/>
          <w:numId w:val="1"/>
        </w:numPr>
        <w:spacing w:lineRule="auto"/>
      </w:pPr>
      <w:r>
        <w:rPr/>
        <w:t xml:space="preserve">W-04 Monitoring, Rapportage &amp; KPI-sturing</w:t>
      </w:r>
    </w:p>
    <w:p>
      <w:pPr>
        <w:numPr>
          <w:ilvl w:val="0"/>
          <w:numId w:val="1"/>
        </w:numPr>
        <w:spacing w:lineRule="auto"/>
      </w:pPr>
      <w:r>
        <w:rPr/>
        <w:t xml:space="preserve">W-05 Duurzaamheid &amp; MVO</w:t>
      </w:r>
    </w:p>
    <w:p>
      <w:pPr>
        <w:numPr>
          <w:ilvl w:val="0"/>
          <w:numId w:val="1"/>
        </w:numPr>
        <w:spacing w:lineRule="auto"/>
      </w:pPr>
      <w:r>
        <w:rPr/>
        <w:t xml:space="preserve">W-06 Onboarding, Transitie &amp; Exit</w:t>
      </w:r>
    </w:p>
    <w:p>
      <w:pPr>
        <w:numPr>
          <w:ilvl w:val="0"/>
          <w:numId w:val="1"/>
        </w:numPr>
        <w:spacing w:lineRule="auto"/>
      </w:pPr>
      <w:r>
        <w:rPr/>
        <w:t xml:space="preserve">W-07 Contract-, Leveranciers- en Assetmanagement</w:t>
      </w:r>
    </w:p>
    <w:p>
      <w:pPr>
        <w:numPr>
          <w:ilvl w:val="0"/>
          <w:numId w:val="1"/>
        </w:numPr>
        <w:spacing w:lineRule="auto"/>
      </w:pPr>
      <w:r>
        <w:rPr/>
        <w:t xml:space="preserve">W-08 Gebruikersondersteuning &amp; Adoptie</w:t>
      </w:r>
    </w:p>
    <w:p>
      <w:pPr>
        <w:spacing w:lineRule="auto"/>
      </w:pPr>
      <w:r>
        <w:rPr/>
        <w:t xml:space="preserve">KPI-set (SMART, meetmethode, frequentie)</w:t>
      </w:r>
    </w:p>
    <w:p>
      <w:pPr>
        <w:numPr>
          <w:ilvl w:val="0"/>
          <w:numId w:val="2"/>
        </w:numPr>
        <w:spacing w:lineRule="auto"/>
      </w:pPr>
      <w:r>
        <w:rPr/>
        <w:t xml:space="preserve">K-01 Beschikbaarheid kernplatform ≥ 99,95% per maand; meetbron: monitoring (Bijlage 9); frequentie: maandelijks.</w:t>
      </w:r>
    </w:p>
    <w:p>
      <w:pPr>
        <w:numPr>
          <w:ilvl w:val="0"/>
          <w:numId w:val="2"/>
        </w:numPr>
        <w:spacing w:lineRule="auto"/>
      </w:pPr>
      <w:r>
        <w:rPr/>
        <w:t xml:space="preserve">K-02 First-Time-Fix servicedesk ≥ 70% binnen kantoortijd; meetbron: ticketsysteem; frequentie: maandelijks (Bijlage 16).</w:t>
      </w:r>
    </w:p>
    <w:p>
      <w:pPr>
        <w:numPr>
          <w:ilvl w:val="0"/>
          <w:numId w:val="2"/>
        </w:numPr>
        <w:spacing w:lineRule="auto"/>
      </w:pPr>
      <w:r>
        <w:rPr/>
        <w:t xml:space="preserve">K-03 Hersteltijden: P1 ≤ 2 uur, P2 ≤ 8 uur, P3 ≤ 2 wdg, P4 ≤ 5 wdg; meetbron: ticketsysteem; frequentie: maandelijks (Bijlage 5/6/16).</w:t>
      </w:r>
    </w:p>
    <w:p>
      <w:pPr>
        <w:numPr>
          <w:ilvl w:val="0"/>
          <w:numId w:val="2"/>
        </w:numPr>
        <w:spacing w:lineRule="auto"/>
      </w:pPr>
      <w:r>
        <w:rPr/>
        <w:t xml:space="preserve">K-04 Detectietijd kritieke alerts ≤ 5 min, reactie ≤ 15 min; meetbron: SIEM/NMS; frequentie: wekelijks (Bijlage 9).</w:t>
      </w:r>
    </w:p>
    <w:p>
      <w:pPr>
        <w:numPr>
          <w:ilvl w:val="0"/>
          <w:numId w:val="2"/>
        </w:numPr>
        <w:spacing w:lineRule="auto"/>
      </w:pPr>
      <w:r>
        <w:rPr/>
        <w:t xml:space="preserve">K-05 Change-succesrate ≥ 98% zonder terugval; meetbron: CAB-registraties; frequentie: maandelijks (Bijlage 7/16).</w:t>
      </w:r>
    </w:p>
    <w:p>
      <w:pPr>
        <w:numPr>
          <w:ilvl w:val="0"/>
          <w:numId w:val="2"/>
        </w:numPr>
        <w:spacing w:lineRule="auto"/>
      </w:pPr>
      <w:r>
        <w:rPr/>
        <w:t xml:space="preserve">K-06 CSAT ≥ 8,2/10, respons ≥ 30% per kwartaal; meetbron: surveytool; frequentie: per kwartaal (Bijlage 16).</w:t>
      </w:r>
    </w:p>
    <w:p>
      <w:pPr>
        <w:numPr>
          <w:ilvl w:val="0"/>
          <w:numId w:val="2"/>
        </w:numPr>
        <w:spacing w:lineRule="auto"/>
      </w:pPr>
      <w:r>
        <w:rPr/>
        <w:t xml:space="preserve">K-07 Security patch compliance: kritieke patches binnen 14 dagen ≥ 95%; meetbron: patchmanagement; frequentie: maandelijks (Bijlage 9/15).</w:t>
      </w:r>
    </w:p>
    <w:p>
      <w:pPr>
        <w:numPr>
          <w:ilvl w:val="0"/>
          <w:numId w:val="2"/>
        </w:numPr>
        <w:spacing w:lineRule="auto"/>
      </w:pPr>
      <w:r>
        <w:rPr/>
        <w:t xml:space="preserve">K-08 RPO ≤ 15 min en RTO ≤ 2 uur (geselecteerde diensten); meetbron: DR-tests; frequentie: halfjaarlijks (Bijlage 8).</w:t>
      </w:r>
    </w:p>
    <w:p>
      <w:pPr>
        <w:numPr>
          <w:ilvl w:val="0"/>
          <w:numId w:val="2"/>
        </w:numPr>
        <w:spacing w:lineRule="auto"/>
      </w:pPr>
      <w:r>
        <w:rPr/>
        <w:t xml:space="preserve">K-09 Leveranciersreviews: 100% per kwartaal; actie-afronding binnen 60 dagen ≥ 90%; meetbron: actielijst; frequentie: per kwartaal (Bijlage 13).</w:t>
      </w:r>
    </w:p>
    <w:p>
      <w:pPr>
        <w:numPr>
          <w:ilvl w:val="0"/>
          <w:numId w:val="2"/>
        </w:numPr>
        <w:spacing w:lineRule="auto"/>
      </w:pPr>
      <w:r>
        <w:rPr/>
        <w:t xml:space="preserve">K-10 CO2 per werkplek/jaar ≤ 35 kg en 100% groene datacenterstroom; meetbron: leveranciersverklaringen en eigen ESG-rapport; frequentie: jaarlijks (Bijlage 11).</w:t>
      </w:r>
    </w:p>
    <w:p>
      <w:pPr>
        <w:spacing w:lineRule="auto"/>
      </w:pPr>
      <w:r>
        <w:rPr/>
        <w:t xml:space="preserve">Overzicht bijlagen | Bijlage | Beschrijving | Relatie (W-xx/KO/REQ) | Status | Verwijzing (pag./sectie) | | 1 | ISO 9001 certificaat (kwaliteit managementsysteem) | W-01, W-04, W-07 / REQ-01 | Geldig t/m 2026-12-14, bijgevoegd | CERT-9001-UNO-2025 v1.0, p1 | | 2 | ISO 27001 certificaat (informatiebeveiliging) | W-02 / REQ-02 | Geldig t/m 2026-12-14, bijgevoegd | CERT-27001-UNO-2025 v1.0, p1 | | 3 | Verklaring van Toepasselijkheid (SoA ISO 27001:2022) | W-02 / REQ-02 | Bijgevoegd | ISMS-SOA-2025 v1.2, p2–7, §3–5 | | 4 | ISMS Jaarplan 2025 (PDCA, doelen, audits) | W-02, W-04 / REQ-02 | Bijgevoegd | ISMS-PLAN-2025 v1.1, p3–12, §2–5 | | 5 | Incidentmanagementproces (ITIL4) | W-03 / REQ-01 | Bijgevoegd | ITIL-INC-2025 v2.4, p1–18, §3 | | 6 | Major Incident Runbook (escalatie, communicatie) | W-03 / REQ-01 | Bijgevoegd | ITIL-MIR-2025 v1.7, p2–15, §4–7 | | 7 | Changemanagement policy + CAB-minuten (voorbeeld) | W-04, W-07 / REQ-01 | Bijgevoegd | ITIL-CHG-2025 v2.2, p1–22, §5; CAB-MIN-2025Q2 p1–3 | | 8 | BCP/DRP incl. RTO/RPO en testverslag | W-01, W-06 / REQ-01 | Bijgevoegd | BCP-DRP-2025 v3.1, p5–19, §3–6 | | 9 | Monitoringarchitectuur en SLA-dashboard (screens, meetmethodiek) | W-04 / REQ-03 | Bijgevoegd | MON-KPI-2025 v2.0, p1–10, §2–4 | | 10 | DPIA-template en model verwerkersovereenkomst | W-02 / REQ-02 | Bijgevoegd | PRIV-DPIA-2025 v1.5, p1–16, §1–7; DPA-UNO-2025 p1–12 | | 11 | Duurzaamheidsverklaring 2025 (CO2, e-waste, groene stroom) | W-05 / REQ-01 | Bijgevoegd | ESG-2025 v1.3, p2–9, §2–5 | | 12 | Onboarding &amp; Exit Playbook (taken, checks, planning) | W-06 / REQ-01 | Bijgevoegd | TRANS-PLAY-2025 v1.8, p3–21, §2–8 | | 13 | Leveranciers- en assetregister (uittreksel) | W-07 / REQ-01 | Bijgevoegd (geanonimiseerd) | SUP-ASSET-2025 v1.1, p1–8, §1–3 | | 14 | Referentiecase overheid/onderwijs (beschikbaarheid, migratie) | W-01, W-03, W-06 / REQ-01 | Bijgevoegd | CASE-OW-2024 v1.0, p1–4, §1–3 | | 15 | Penetratietest samenvatting H1 2025 (extern) | W-02 / REQ-02 | Bijgevoegd | SEC-PEN-2025H1 v1.0, p1–6, §2–5 | | 16 | KPI-rapportage Q2 2025 (SLA, CSAT, trends) | W-04, W-08 / REQ-03 | Bijgevoegd | KPI-REP-2025Q2 v1.0, p2–11, §3–6 | | 17 | Opleidingsmatrix en VOG-overzicht | W-02, W-08 / REQ-01 | Bijgevoegd | HR-TRN-VOG-2025 v1.2, p1–7, §2–4 |</w:t>
      </w:r>
    </w:p>
    <w:p>
      <w:pPr>
        <w:spacing w:lineRule="auto"/>
      </w:pPr>
      <w:r>
        <w:rPr/>
        <w:t xml:space="preserve">Kruisverband W-xx ↔ KPI ↔ Risico ↔ Bewijs | W-xx | KPI | Risico | Bewijs (bijlagen) | | W-01 | K-01, K-08 | R-01 Continuïteit | 1, 8, 9, 16 | | W-02 | K-07 | R-02 Databreach | 2, 3, 4, 10, 15, 17 | | W-03 | K-02, K-03 | R-03 Incidentvertraging | 5, 6, 16 | | W-04 | K-01, K-04, K-05, K-06 | R-04 Rapportage tekort | 7, 9, 16 | | W-05 | K-10 | R-08 Duurzaamheid | 11 | | W-06 | K-08 | R-06 Transitiecomplexiteit | 8, 12, 14 | | W-07 | K-09 | R-07 Leveranciersafhankelijkheid | 1, 7, 13 | | W-08 | K-02, K-06 | R-03, R-04 | 16, 17 |</w:t>
      </w:r>
    </w:p>
    <w:p>
      <w:pPr>
        <w:spacing w:lineRule="auto"/>
      </w:pPr>
      <w:r>
        <w:rPr/>
        <w:t xml:space="preserve">Uittreksel risicodossier (mitigatie en monitoring)</w:t>
      </w:r>
    </w:p>
    <w:p>
      <w:pPr>
        <w:numPr>
          <w:ilvl w:val="0"/>
          <w:numId w:val="3"/>
        </w:numPr>
        <w:spacing w:lineRule="auto"/>
      </w:pPr>
      <w:r>
        <w:rPr/>
        <w:t xml:space="preserve">R-01 Onvoldoende beschikbaarheid: mitigatie via HA-architectuur, redundante ISP’s, BCP/DRP getest; monitoring op K-01 en K-08; zie Bijlage 8–9.</w:t>
      </w:r>
    </w:p>
    <w:p>
      <w:pPr>
        <w:numPr>
          <w:ilvl w:val="0"/>
          <w:numId w:val="3"/>
        </w:numPr>
        <w:spacing w:lineRule="auto"/>
      </w:pPr>
      <w:r>
        <w:rPr/>
        <w:t xml:space="preserve">R-02 Inbreuk op gegevens: mitigatie via ISO 27001-controles, MFA, least privilege, logmonitoring, jaarlijkse pentests; monitoring K-07; zie Bijlage 2–4, 10, 15.</w:t>
      </w:r>
    </w:p>
    <w:p>
      <w:pPr>
        <w:numPr>
          <w:ilvl w:val="0"/>
          <w:numId w:val="3"/>
        </w:numPr>
        <w:spacing w:lineRule="auto"/>
      </w:pPr>
      <w:r>
        <w:rPr/>
        <w:t xml:space="preserve">R-03 Vertraagde incidentafhandeling: mitigatie via triage-SOP’s, skills-matrix, MIM-proces en escalatie; bewaking via K-02/K-03; zie Bijlage 5–6, 16.</w:t>
      </w:r>
    </w:p>
    <w:p>
      <w:pPr>
        <w:numPr>
          <w:ilvl w:val="0"/>
          <w:numId w:val="3"/>
        </w:numPr>
        <w:spacing w:lineRule="auto"/>
      </w:pPr>
      <w:r>
        <w:rPr/>
        <w:t xml:space="preserve">R-04 Onvoldoende stuurinformatie: mitigatie via geautomatiseerde dashboards, maandelijkse SLA-review en kwartaal-QBR’s; K-04/K-05/K-06; zie Bijlage 7, 9, 16.</w:t>
      </w:r>
    </w:p>
    <w:p>
      <w:pPr>
        <w:numPr>
          <w:ilvl w:val="0"/>
          <w:numId w:val="3"/>
        </w:numPr>
        <w:spacing w:lineRule="auto"/>
      </w:pPr>
      <w:r>
        <w:rPr/>
        <w:t xml:space="preserve">R-06 Complexe transitie/exit: mitigatie via as-is discovery, pilootmigraties, cutover-checklist en rollback; K-08; zie Bijlage 12, 14.</w:t>
      </w:r>
    </w:p>
    <w:p>
      <w:pPr>
        <w:numPr>
          <w:ilvl w:val="0"/>
          <w:numId w:val="3"/>
        </w:numPr>
        <w:spacing w:lineRule="auto"/>
      </w:pPr>
      <w:r>
        <w:rPr/>
        <w:t xml:space="preserve">R-07 Leveranciersafhankelijkheid: mitigatie via contractcatalogus, exit-clausules, tweede bron; K-09; zie Bijlage 7, 13.</w:t>
      </w:r>
    </w:p>
    <w:p>
      <w:pPr>
        <w:numPr>
          <w:ilvl w:val="0"/>
          <w:numId w:val="3"/>
        </w:numPr>
        <w:spacing w:lineRule="auto"/>
      </w:pPr>
      <w:r>
        <w:rPr/>
        <w:t xml:space="preserve">R-08 CO2-doelen niet gehaald: mitigatie via groene stroom, device-lifecyclebeleid, hergebruik en gecertificeerde afvalstromen; K-10; zie Bijlage 11.</w:t>
      </w:r>
    </w:p>
    <w:p>
      <w:pPr>
        <w:spacing w:lineRule="auto"/>
      </w:pPr>
      <w:r>
        <w:rPr/>
        <w:t xml:space="preserve">PDCA-borging per W-xx (concreet)</w:t>
      </w:r>
    </w:p>
    <w:p>
      <w:pPr>
        <w:numPr>
          <w:ilvl w:val="0"/>
          <w:numId w:val="4"/>
        </w:numPr>
        <w:spacing w:lineRule="auto"/>
      </w:pPr>
      <w:r>
        <w:rPr/>
        <w:t xml:space="preserve">W-01 Plan: BCP/DRP met RTO≤2u en RPO≤15m (Bijlage 8). Do: halfjaarlijkse DR-test. Check: rapportage afwijkingen (Bijlage 16). Act: verbeteracties gelogd en hergetest binnen 60 dagen.</w:t>
      </w:r>
    </w:p>
    <w:p>
      <w:pPr>
        <w:numPr>
          <w:ilvl w:val="0"/>
          <w:numId w:val="4"/>
        </w:numPr>
        <w:spacing w:lineRule="auto"/>
      </w:pPr>
      <w:r>
        <w:rPr/>
        <w:t xml:space="preserve">W-02 Plan: ISMS-doelen (SoA, Jaarplan; Bijlage 3–4). Do: implementatie controls, awareness-training (Bijlage 17). Check: interne audit en pentest (Bijlage 15). Act: CAPA’s binnen 30 dagen sluiten.</w:t>
      </w:r>
    </w:p>
    <w:p>
      <w:pPr>
        <w:numPr>
          <w:ilvl w:val="0"/>
          <w:numId w:val="4"/>
        </w:numPr>
        <w:spacing w:lineRule="auto"/>
      </w:pPr>
      <w:r>
        <w:rPr/>
        <w:t xml:space="preserve">W-03 Plan: ITIL-processen en MIM-runbook (Bijlage 5–6). Do: dagelijkse uitvoering. Check: doorlooptijden versus K-03 (Bijlage 16). Act: problem reviews en SOP-aanpassingen binnen 14 dagen.</w:t>
      </w:r>
    </w:p>
    <w:p>
      <w:pPr>
        <w:numPr>
          <w:ilvl w:val="0"/>
          <w:numId w:val="4"/>
        </w:numPr>
        <w:spacing w:lineRule="auto"/>
      </w:pPr>
      <w:r>
        <w:rPr/>
        <w:t xml:space="preserve">W-04 Plan: meetplan KPI’s en dashboard (Bijlage 9). Do: datacollectie en maandrapportage (Bijlage 16). Check: maandreview met opdrachtgever. Act: verbeterplan met eigenaar en deadline (max. 30 dagen).</w:t>
      </w:r>
    </w:p>
    <w:p>
      <w:pPr>
        <w:numPr>
          <w:ilvl w:val="0"/>
          <w:numId w:val="4"/>
        </w:numPr>
        <w:spacing w:lineRule="auto"/>
      </w:pPr>
      <w:r>
        <w:rPr/>
        <w:t xml:space="preserve">W-05 Plan: ESG-doelen (100% groene DC-stroom, CO2 ≤ 35 kg/werkplek; Bijlage 11). Do: inkoopbeleid groen en e-waste. Check: jaarreview. Act: routekaart-update en leverancierscorrecties binnen 45 dagen.</w:t>
      </w:r>
    </w:p>
    <w:p>
      <w:pPr>
        <w:numPr>
          <w:ilvl w:val="0"/>
          <w:numId w:val="4"/>
        </w:numPr>
        <w:spacing w:lineRule="auto"/>
      </w:pPr>
      <w:r>
        <w:rPr/>
        <w:t xml:space="preserve">W-06 Plan: transitieplan en exitchecklist (Bijlage 12). Do: pilot, waves, go-live. Check: cutover-criteria en hypercare-rapport. Act: lessons learned in playbook binnen 10 werkdagen.</w:t>
      </w:r>
    </w:p>
    <w:p>
      <w:pPr>
        <w:numPr>
          <w:ilvl w:val="0"/>
          <w:numId w:val="4"/>
        </w:numPr>
        <w:spacing w:lineRule="auto"/>
      </w:pPr>
      <w:r>
        <w:rPr/>
        <w:t xml:space="preserve">W-07 Plan: leveranciers- en assetregister (Bijlage 13). Do: kwartaal-QBR’s, CAB (Bijlage 7). Check: KPI K-09. Act: contractcorrecties en exit-opties binnen 30 dagen.</w:t>
      </w:r>
    </w:p>
    <w:p>
      <w:pPr>
        <w:numPr>
          <w:ilvl w:val="0"/>
          <w:numId w:val="4"/>
        </w:numPr>
        <w:spacing w:lineRule="auto"/>
      </w:pPr>
      <w:r>
        <w:rPr/>
        <w:t xml:space="preserve">W-08 Plan: support-ervaring en CSAT-survey (Bijlage 16). Do: FTF-coaching (Bijlage 17). Check: CSAT ≥ 8,2. Act: training/kennisbank-update binnen 20 werkdagen.</w:t>
      </w:r>
    </w:p>
    <w:p>
      <w:pPr>
        <w:spacing w:lineRule="auto"/>
      </w:pPr>
      <w:r>
        <w:rPr/>
        <w:t xml:space="preserve">Meet- en auditfrequenties</w:t>
      </w:r>
    </w:p>
    <w:p>
      <w:pPr>
        <w:numPr>
          <w:ilvl w:val="0"/>
          <w:numId w:val="5"/>
        </w:numPr>
        <w:spacing w:lineRule="auto"/>
      </w:pPr>
      <w:r>
        <w:rPr/>
        <w:t xml:space="preserve">Maandelijks: SLA/KPI-rapportage (K-01 t/m K-07), change-succesrate, incidentdoorlooptijden.</w:t>
      </w:r>
    </w:p>
    <w:p>
      <w:pPr>
        <w:numPr>
          <w:ilvl w:val="0"/>
          <w:numId w:val="5"/>
        </w:numPr>
        <w:spacing w:lineRule="auto"/>
      </w:pPr>
      <w:r>
        <w:rPr/>
        <w:t xml:space="preserve">Per kwartaal: CSAT, leveranciers-QBR, managementreview.</w:t>
      </w:r>
    </w:p>
    <w:p>
      <w:pPr>
        <w:numPr>
          <w:ilvl w:val="0"/>
          <w:numId w:val="5"/>
        </w:numPr>
        <w:spacing w:lineRule="auto"/>
      </w:pPr>
      <w:r>
        <w:rPr/>
        <w:t xml:space="preserve">Halfjaarlijks: DR-test.</w:t>
      </w:r>
    </w:p>
    <w:p>
      <w:pPr>
        <w:numPr>
          <w:ilvl w:val="0"/>
          <w:numId w:val="5"/>
        </w:numPr>
        <w:spacing w:lineRule="auto"/>
      </w:pPr>
      <w:r>
        <w:rPr/>
        <w:t xml:space="preserve">Jaarlijks: ISO-audits, ESG-rapportage, pentest (min. 1x/jaar).</w:t>
      </w:r>
    </w:p>
    <w:p>
      <w:pPr>
        <w:spacing w:lineRule="auto"/>
      </w:pPr>
      <w:r>
        <w:rPr/>
        <w:t xml:space="preserve">Toelichting bewijsvoering per EMVI-criterium</w:t>
      </w:r>
    </w:p>
    <w:p>
      <w:pPr>
        <w:numPr>
          <w:ilvl w:val="0"/>
          <w:numId w:val="6"/>
        </w:numPr>
        <w:spacing w:lineRule="auto"/>
      </w:pPr>
      <w:r>
        <w:rPr/>
        <w:t xml:space="preserve">Kwaliteit: ISO 9001, ITIL-processen, CAB en KPI-rapportage (Bijlage 1, 5, 7, 9, 16).</w:t>
      </w:r>
    </w:p>
    <w:p>
      <w:pPr>
        <w:numPr>
          <w:ilvl w:val="0"/>
          <w:numId w:val="6"/>
        </w:numPr>
        <w:spacing w:lineRule="auto"/>
      </w:pPr>
      <w:r>
        <w:rPr/>
        <w:t xml:space="preserve">Duurzaamheid: ESG-verklaring, groene datacenters, e-waste-proces (Bijlage 11).</w:t>
      </w:r>
    </w:p>
    <w:p>
      <w:pPr>
        <w:numPr>
          <w:ilvl w:val="0"/>
          <w:numId w:val="6"/>
        </w:numPr>
        <w:spacing w:lineRule="auto"/>
      </w:pPr>
      <w:r>
        <w:rPr/>
        <w:t xml:space="preserve">Risicobeheersing: ISO 27001, SoA, BCP/DRP, pentest (Bijlage 2–4, 8, 15).</w:t>
      </w:r>
    </w:p>
    <w:p>
      <w:pPr>
        <w:numPr>
          <w:ilvl w:val="0"/>
          <w:numId w:val="6"/>
        </w:numPr>
        <w:spacing w:lineRule="auto"/>
      </w:pPr>
      <w:r>
        <w:rPr/>
        <w:t xml:space="preserve">Prijs: efficiency via hoge FTF, change-succesrate en voorspelbare processen (onderbouwd in KPI-rapportage, Bijlage 16).</w:t>
      </w:r>
    </w:p>
    <w:p>
      <w:pPr>
        <w:spacing w:lineRule="auto"/>
      </w:pPr>
      <w:r>
        <w:rPr/>
        <w:t xml:space="preserve">Meetmethodiek en steekproef (controleerbaarheid)</w:t>
      </w:r>
    </w:p>
    <w:p>
      <w:pPr>
        <w:numPr>
          <w:ilvl w:val="0"/>
          <w:numId w:val="7"/>
        </w:numPr>
        <w:spacing w:lineRule="auto"/>
      </w:pPr>
      <w:r>
        <w:rPr/>
        <w:t xml:space="preserve">K-01: uptime gemeten via onafhankelijke probes (5-minuten-interval), exclusions conform onderhoudskalender; bron Bijlage 9.</w:t>
      </w:r>
    </w:p>
    <w:p>
      <w:pPr>
        <w:numPr>
          <w:ilvl w:val="0"/>
          <w:numId w:val="7"/>
        </w:numPr>
        <w:spacing w:lineRule="auto"/>
      </w:pPr>
      <w:r>
        <w:rPr/>
        <w:t xml:space="preserve">K-02/K-03: ticketmetadata (prioriteit, tijdstempels) uit ITSM; steekproef 10% tickets/maand; bron Bijlage 5–6, 16.</w:t>
      </w:r>
    </w:p>
    <w:p>
      <w:pPr>
        <w:numPr>
          <w:ilvl w:val="0"/>
          <w:numId w:val="7"/>
        </w:numPr>
        <w:spacing w:lineRule="auto"/>
      </w:pPr>
      <w:r>
        <w:rPr/>
        <w:t xml:space="preserve">K-05: changes met back-outplan, suxx-rate = (geslaagde changes – terugrol)/totaal; bron Bijlage 7.</w:t>
      </w:r>
    </w:p>
    <w:p>
      <w:pPr>
        <w:numPr>
          <w:ilvl w:val="0"/>
          <w:numId w:val="7"/>
        </w:numPr>
        <w:spacing w:lineRule="auto"/>
      </w:pPr>
      <w:r>
        <w:rPr/>
        <w:t xml:space="preserve">K-06: CSAT via geanonimiseerde enquêtes, min. 30% respons; bron Bijlage 16.</w:t>
      </w:r>
    </w:p>
    <w:p>
      <w:pPr>
        <w:numPr>
          <w:ilvl w:val="0"/>
          <w:numId w:val="7"/>
        </w:numPr>
        <w:spacing w:lineRule="auto"/>
      </w:pPr>
      <w:r>
        <w:rPr/>
        <w:t xml:space="preserve">K-07: patchcompliance uit endpoint- en servermanagement; bron Bijlage 9, 15.</w:t>
      </w:r>
    </w:p>
    <w:p>
      <w:pPr>
        <w:numPr>
          <w:ilvl w:val="0"/>
          <w:numId w:val="7"/>
        </w:numPr>
        <w:spacing w:lineRule="auto"/>
      </w:pPr>
      <w:r>
        <w:rPr/>
        <w:t xml:space="preserve">K-08: DR-testlogboeken en restore-rapporten; bron Bijlage 8.</w:t>
      </w:r>
    </w:p>
    <w:p>
      <w:pPr>
        <w:numPr>
          <w:ilvl w:val="0"/>
          <w:numId w:val="7"/>
        </w:numPr>
        <w:spacing w:lineRule="auto"/>
      </w:pPr>
      <w:r>
        <w:rPr/>
        <w:t xml:space="preserve">K-09/K-10: QBR-actielijsten en ESG-data; bron Bijlage 11, 13.</w:t>
      </w:r>
    </w:p>
    <w:p>
      <w:pPr>
        <w:spacing w:lineRule="auto"/>
      </w:pPr>
      <w:r>
        <w:rPr/>
        <w:t xml:space="preserve">Overzicht met: Bijlage | Beschrijving | Relatie (W-xx/KO/REQ) | Status | Verwijzing (pag./sectie). (Volledige tabel hierboven opgenomen onder “Overzicht bijlagen”.)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Bewijsstukkenbundel</dc:title>
  <dc:subject/>
  <dc:creator>html-to-docx</dc:creator>
  <cp:keywords>html-to-docx</cp:keywords>
  <dc:description/>
  <cp:lastModifiedBy>html-to-docx</cp:lastModifiedBy>
  <cp:revision>1</cp:revision>
  <dcterms:created xsi:type="dcterms:W3CDTF">2025-11-11T22:30:24.486Z</dcterms:created>
  <dcterms:modified xsi:type="dcterms:W3CDTF">2025-11-11T22:30:24.486Z</dcterms:modified>
</cp:coreProperties>
</file>