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Nota van Inlichtingen — Clarificaties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11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NvI – Clarificatievragen</w:t>
      </w:r>
    </w:p>
    <w:p>
      <w:pPr>
        <w:spacing w:lineRule="auto"/>
      </w:pPr>
      <w:r>
        <w:rPr/>
        <w:t xml:space="preserve">W-01 Scope en bevoegd gezag (catering vs. ICT)</w:t>
      </w:r>
    </w:p>
    <w:p>
      <w:pPr>
        <w:numPr>
          <w:ilvl w:val="0"/>
          <w:numId w:val="1"/>
        </w:numPr>
        <w:spacing w:lineRule="auto"/>
      </w:pPr>
      <w:r>
        <w:rPr/>
        <w:t xml:space="preserve">Vraag (SMART): Bevestigt u vóór sluitingsdatum inschrijving of de scope ICT managed cloud- en infrastructuurdiensten betreft voor Gemeente Middenstad of NVAO, of daadwerkelijk catering- en horecadiensten? Indien geloot: graag per perceel de scope en geschiktheidseisen.</w:t>
      </w:r>
    </w:p>
    <w:p>
      <w:pPr>
        <w:numPr>
          <w:ilvl w:val="0"/>
          <w:numId w:val="1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1"/>
        </w:numPr>
        <w:spacing w:lineRule="auto"/>
      </w:pPr>
      <w:r>
        <w:rPr/>
        <w:t xml:space="preserve">Impact: Geldigheid inschrijving, EMVI-focus, compliance</w:t>
      </w:r>
    </w:p>
    <w:p>
      <w:pPr>
        <w:numPr>
          <w:ilvl w:val="0"/>
          <w:numId w:val="1"/>
        </w:numPr>
        <w:spacing w:lineRule="auto"/>
      </w:pPr>
      <w:r>
        <w:rPr/>
        <w:t xml:space="preserve">Afhankelijkheden: W-02, W-03, W-04, W-05, W-07, W-08</w:t>
      </w:r>
    </w:p>
    <w:p>
      <w:pPr>
        <w:numPr>
          <w:ilvl w:val="0"/>
          <w:numId w:val="1"/>
        </w:numPr>
        <w:spacing w:lineRule="auto"/>
      </w:pPr>
      <w:r>
        <w:rPr/>
        <w:t xml:space="preserve">KPI-koppeling: KPI-1 Beschikbaarheid (%), KPI-2 Incidenthersteltijd, of (bij catering) KPI-FOOD-1 Voedselverspilling (%)</w:t>
      </w:r>
    </w:p>
    <w:p>
      <w:pPr>
        <w:numPr>
          <w:ilvl w:val="0"/>
          <w:numId w:val="1"/>
        </w:numPr>
        <w:spacing w:lineRule="auto"/>
      </w:pPr>
      <w:r>
        <w:rPr/>
        <w:t xml:space="preserve">Risico (R-01): Scope-mismatch leidt tot ongeldige of suboptimale inschrijving</w:t>
      </w:r>
    </w:p>
    <w:p>
      <w:pPr>
        <w:numPr>
          <w:ilvl w:val="0"/>
          <w:numId w:val="1"/>
        </w:numPr>
        <w:spacing w:lineRule="auto"/>
      </w:pPr>
      <w:r>
        <w:rPr/>
        <w:t xml:space="preserve">Bewijs: ISO 9001/27001 certificaten, referentie-omgevingen onderwijs/overheid</w:t>
      </w:r>
    </w:p>
    <w:p>
      <w:pPr>
        <w:numPr>
          <w:ilvl w:val="0"/>
          <w:numId w:val="1"/>
        </w:numPr>
        <w:spacing w:lineRule="auto"/>
      </w:pPr>
      <w:r>
        <w:rPr/>
        <w:t xml:space="preserve">PDCA: Plan scope en percelen; Do voorstel per perceel; Check tegen eisen; Act bijsturen inschrijving</w:t>
      </w:r>
    </w:p>
    <w:p>
      <w:pPr>
        <w:spacing w:lineRule="auto"/>
      </w:pPr>
      <w:r>
        <w:rPr/>
        <w:t xml:space="preserve">W-02 Raamovereenkomst-structuur en volumes</w:t>
      </w:r>
    </w:p>
    <w:p>
      <w:pPr>
        <w:numPr>
          <w:ilvl w:val="0"/>
          <w:numId w:val="2"/>
        </w:numPr>
        <w:spacing w:lineRule="auto"/>
      </w:pPr>
      <w:r>
        <w:rPr/>
        <w:t xml:space="preserve">Vraag (SMART): Graag bevestiging van looptijd basis + opties (jaren), aantal raamcontractanten (single/multi), afroepmechanisme (minicompetitie/cascade), geraamde jaarvolumes en plafondbedrag per (sub)perceel.</w:t>
      </w:r>
    </w:p>
    <w:p>
      <w:pPr>
        <w:numPr>
          <w:ilvl w:val="0"/>
          <w:numId w:val="2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2"/>
        </w:numPr>
        <w:spacing w:lineRule="auto"/>
      </w:pPr>
      <w:r>
        <w:rPr/>
        <w:t xml:space="preserve">Impact: Capaciteitsplanning, pricing, leveringszekerheid</w:t>
      </w:r>
    </w:p>
    <w:p>
      <w:pPr>
        <w:numPr>
          <w:ilvl w:val="0"/>
          <w:numId w:val="2"/>
        </w:numPr>
        <w:spacing w:lineRule="auto"/>
      </w:pPr>
      <w:r>
        <w:rPr/>
        <w:t xml:space="preserve">Afhankelijkheden: W-08, W-09</w:t>
      </w:r>
    </w:p>
    <w:p>
      <w:pPr>
        <w:numPr>
          <w:ilvl w:val="0"/>
          <w:numId w:val="2"/>
        </w:numPr>
        <w:spacing w:lineRule="auto"/>
      </w:pPr>
      <w:r>
        <w:rPr/>
        <w:t xml:space="preserve">KPI-koppeling: KPI-3 Doorlooptijd afroep (dagen), KPI-4 Leveringsbetrouwbaarheid (%)</w:t>
      </w:r>
    </w:p>
    <w:p>
      <w:pPr>
        <w:numPr>
          <w:ilvl w:val="0"/>
          <w:numId w:val="2"/>
        </w:numPr>
        <w:spacing w:lineRule="auto"/>
      </w:pPr>
      <w:r>
        <w:rPr/>
        <w:t xml:space="preserve">Risico (R-02): Onrendabele inzet en leveringsrisico door volume-onzekerheid</w:t>
      </w:r>
    </w:p>
    <w:p>
      <w:pPr>
        <w:numPr>
          <w:ilvl w:val="0"/>
          <w:numId w:val="2"/>
        </w:numPr>
        <w:spacing w:lineRule="auto"/>
      </w:pPr>
      <w:r>
        <w:rPr/>
        <w:t xml:space="preserve">Bewijs: Concept afroepprocedure, volumehistorie</w:t>
      </w:r>
    </w:p>
    <w:p>
      <w:pPr>
        <w:numPr>
          <w:ilvl w:val="0"/>
          <w:numId w:val="2"/>
        </w:numPr>
        <w:spacing w:lineRule="auto"/>
      </w:pPr>
      <w:r>
        <w:rPr/>
        <w:t xml:space="preserve">PDCA: Plan capaciteit; Do resource-allocatie; Check afroepperformance; Act opschalen/afschalen</w:t>
      </w:r>
    </w:p>
    <w:p>
      <w:pPr>
        <w:spacing w:lineRule="auto"/>
      </w:pPr>
      <w:r>
        <w:rPr/>
        <w:t xml:space="preserve">W-03 EMVI-subcriteria en beoordelingsrubric</w:t>
      </w:r>
    </w:p>
    <w:p>
      <w:pPr>
        <w:numPr>
          <w:ilvl w:val="0"/>
          <w:numId w:val="3"/>
        </w:numPr>
        <w:spacing w:lineRule="auto"/>
      </w:pPr>
      <w:r>
        <w:rPr/>
        <w:t xml:space="preserve">Vraag (SMART): Wilt u per criterium (Kwaliteit 40%, Duurzaamheid 20%, Risicobeheersing 20%, Prijs 20%) de subcriteria, wegingssleutels en beoordelingsrubrics (score 1–10) verstrekken, plus of bijlagen meetellen binnen 6 EMVI-pagina’s?</w:t>
      </w:r>
    </w:p>
    <w:p>
      <w:pPr>
        <w:numPr>
          <w:ilvl w:val="0"/>
          <w:numId w:val="3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3"/>
        </w:numPr>
        <w:spacing w:lineRule="auto"/>
      </w:pPr>
      <w:r>
        <w:rPr/>
        <w:t xml:space="preserve">Impact: Maximalisatie EMVI-score, focus Plan van Aanpak</w:t>
      </w:r>
    </w:p>
    <w:p>
      <w:pPr>
        <w:numPr>
          <w:ilvl w:val="0"/>
          <w:numId w:val="3"/>
        </w:numPr>
        <w:spacing w:lineRule="auto"/>
      </w:pPr>
      <w:r>
        <w:rPr/>
        <w:t xml:space="preserve">Afhankelijkheden: W-04, W-07</w:t>
      </w:r>
    </w:p>
    <w:p>
      <w:pPr>
        <w:numPr>
          <w:ilvl w:val="0"/>
          <w:numId w:val="3"/>
        </w:numPr>
        <w:spacing w:lineRule="auto"/>
      </w:pPr>
      <w:r>
        <w:rPr/>
        <w:t xml:space="preserve">KPI-koppeling: KPI-5 EMVI-score ≥8,0</w:t>
      </w:r>
    </w:p>
    <w:p>
      <w:pPr>
        <w:numPr>
          <w:ilvl w:val="0"/>
          <w:numId w:val="3"/>
        </w:numPr>
        <w:spacing w:lineRule="auto"/>
      </w:pPr>
      <w:r>
        <w:rPr/>
        <w:t xml:space="preserve">Risico (R-03): Paginalimiet/inhoud-mismatch verlaagt score</w:t>
      </w:r>
    </w:p>
    <w:p>
      <w:pPr>
        <w:numPr>
          <w:ilvl w:val="0"/>
          <w:numId w:val="3"/>
        </w:numPr>
        <w:spacing w:lineRule="auto"/>
      </w:pPr>
      <w:r>
        <w:rPr/>
        <w:t xml:space="preserve">Bewijs: Voorbeeld rubric of toelichting gunningsleidraad</w:t>
      </w:r>
    </w:p>
    <w:p>
      <w:pPr>
        <w:numPr>
          <w:ilvl w:val="0"/>
          <w:numId w:val="3"/>
        </w:numPr>
        <w:spacing w:lineRule="auto"/>
      </w:pPr>
      <w:r>
        <w:rPr/>
        <w:t xml:space="preserve">PDCA: Plan inhoud per subcriterium; Do schrijven; Check pre-mock scoring; Act herprioriteren</w:t>
      </w:r>
    </w:p>
    <w:p>
      <w:pPr>
        <w:spacing w:lineRule="auto"/>
      </w:pPr>
      <w:r>
        <w:rPr/>
        <w:t xml:space="preserve">W-04 Deliverables: formats en diepgang</w:t>
      </w:r>
    </w:p>
    <w:p>
      <w:pPr>
        <w:numPr>
          <w:ilvl w:val="0"/>
          <w:numId w:val="4"/>
        </w:numPr>
        <w:spacing w:lineRule="auto"/>
      </w:pPr>
      <w:r>
        <w:rPr/>
        <w:t xml:space="preserve">Vraag (SMART): Bevestig gewenste structuur/format voor Plan van Aanpak, Risicodossier en KPI-overzicht (hoofdstukken, diepgang, rapportagefrequentie) en of opdrachtgever formats/templates levert.</w:t>
      </w:r>
    </w:p>
    <w:p>
      <w:pPr>
        <w:numPr>
          <w:ilvl w:val="0"/>
          <w:numId w:val="4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4"/>
        </w:numPr>
        <w:spacing w:lineRule="auto"/>
      </w:pPr>
      <w:r>
        <w:rPr/>
        <w:t xml:space="preserve">Impact: Compliance, beoordelbaarheid</w:t>
      </w:r>
    </w:p>
    <w:p>
      <w:pPr>
        <w:numPr>
          <w:ilvl w:val="0"/>
          <w:numId w:val="4"/>
        </w:numPr>
        <w:spacing w:lineRule="auto"/>
      </w:pPr>
      <w:r>
        <w:rPr/>
        <w:t xml:space="preserve">Afhankelijkheden: W-03, W-05</w:t>
      </w:r>
    </w:p>
    <w:p>
      <w:pPr>
        <w:numPr>
          <w:ilvl w:val="0"/>
          <w:numId w:val="4"/>
        </w:numPr>
        <w:spacing w:lineRule="auto"/>
      </w:pPr>
      <w:r>
        <w:rPr/>
        <w:t xml:space="preserve">KPI-koppeling: KPI-6 Tijdigheid en volledigheid rapportage 100%</w:t>
      </w:r>
    </w:p>
    <w:p>
      <w:pPr>
        <w:numPr>
          <w:ilvl w:val="0"/>
          <w:numId w:val="4"/>
        </w:numPr>
        <w:spacing w:lineRule="auto"/>
      </w:pPr>
      <w:r>
        <w:rPr/>
        <w:t xml:space="preserve">Risico (R-04): Afwijkende opbouw leidt tot puntenverlies</w:t>
      </w:r>
    </w:p>
    <w:p>
      <w:pPr>
        <w:numPr>
          <w:ilvl w:val="0"/>
          <w:numId w:val="4"/>
        </w:numPr>
        <w:spacing w:lineRule="auto"/>
      </w:pPr>
      <w:r>
        <w:rPr/>
        <w:t xml:space="preserve">Bewijs: Templates/voorbeeldinhoud</w:t>
      </w:r>
    </w:p>
    <w:p>
      <w:pPr>
        <w:numPr>
          <w:ilvl w:val="0"/>
          <w:numId w:val="4"/>
        </w:numPr>
        <w:spacing w:lineRule="auto"/>
      </w:pPr>
      <w:r>
        <w:rPr/>
        <w:t xml:space="preserve">PDCA: Plan structuur; Do opstellen; Check format-checklist; Act bijsturen</w:t>
      </w:r>
    </w:p>
    <w:p>
      <w:pPr>
        <w:spacing w:lineRule="auto"/>
      </w:pPr>
      <w:r>
        <w:rPr/>
        <w:t xml:space="preserve">W-05 SLA- en KPI-definities</w:t>
      </w:r>
    </w:p>
    <w:p>
      <w:pPr>
        <w:numPr>
          <w:ilvl w:val="0"/>
          <w:numId w:val="5"/>
        </w:numPr>
        <w:spacing w:lineRule="auto"/>
      </w:pPr>
      <w:r>
        <w:rPr/>
        <w:t xml:space="preserve">Vraag (SMART): Graag normwaarden per prioriteit voor response- en hersteltijden, beschikbaarheid (24x7/8x5), RTO/RPO (indien ICT), meetmethode, escalatiepad, bonus/malus en rapportage-interval.</w:t>
      </w:r>
    </w:p>
    <w:p>
      <w:pPr>
        <w:numPr>
          <w:ilvl w:val="0"/>
          <w:numId w:val="5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5"/>
        </w:numPr>
        <w:spacing w:lineRule="auto"/>
      </w:pPr>
      <w:r>
        <w:rPr/>
        <w:t xml:space="preserve">Impact: Prijsstelling, bezetting, risico op malus</w:t>
      </w:r>
    </w:p>
    <w:p>
      <w:pPr>
        <w:numPr>
          <w:ilvl w:val="0"/>
          <w:numId w:val="5"/>
        </w:numPr>
        <w:spacing w:lineRule="auto"/>
      </w:pPr>
      <w:r>
        <w:rPr/>
        <w:t xml:space="preserve">Afhankelijkheden: W-02, W-04</w:t>
      </w:r>
    </w:p>
    <w:p>
      <w:pPr>
        <w:numPr>
          <w:ilvl w:val="0"/>
          <w:numId w:val="5"/>
        </w:numPr>
        <w:spacing w:lineRule="auto"/>
      </w:pPr>
      <w:r>
        <w:rPr/>
        <w:t xml:space="preserve">KPI-koppeling: KPI-1 Beschikbaarheid, KPI-2 MTTR, KPI-7 Aantal malussen = 0</w:t>
      </w:r>
    </w:p>
    <w:p>
      <w:pPr>
        <w:numPr>
          <w:ilvl w:val="0"/>
          <w:numId w:val="5"/>
        </w:numPr>
        <w:spacing w:lineRule="auto"/>
      </w:pPr>
      <w:r>
        <w:rPr/>
        <w:t xml:space="preserve">Risico (R-05): Onhaalbare SLA leidt tot boetes</w:t>
      </w:r>
    </w:p>
    <w:p>
      <w:pPr>
        <w:numPr>
          <w:ilvl w:val="0"/>
          <w:numId w:val="5"/>
        </w:numPr>
        <w:spacing w:lineRule="auto"/>
      </w:pPr>
      <w:r>
        <w:rPr/>
        <w:t xml:space="preserve">Bewijs: Concept SLA-matrix</w:t>
      </w:r>
    </w:p>
    <w:p>
      <w:pPr>
        <w:numPr>
          <w:ilvl w:val="0"/>
          <w:numId w:val="5"/>
        </w:numPr>
        <w:spacing w:lineRule="auto"/>
      </w:pPr>
      <w:r>
        <w:rPr/>
        <w:t xml:space="preserve">PDCA: Plan SLA; Do service-inrichting; Check maandrapportages; Act verbeterplan</w:t>
      </w:r>
    </w:p>
    <w:p>
      <w:pPr>
        <w:spacing w:lineRule="auto"/>
      </w:pPr>
      <w:r>
        <w:rPr/>
        <w:t xml:space="preserve">W-06 Security/Privacy en compliance</w:t>
      </w:r>
    </w:p>
    <w:p>
      <w:pPr>
        <w:numPr>
          <w:ilvl w:val="0"/>
          <w:numId w:val="6"/>
        </w:numPr>
        <w:spacing w:lineRule="auto"/>
      </w:pPr>
      <w:r>
        <w:rPr/>
        <w:t xml:space="preserve">Vraag (SMART): Bevestig toepassing AVG/verwerkersovereenkomst, datalocatie-eisen (EU), pentest/fysieke beveiliging, screenings (VOG), en (als catering) HACCP/NVWA-vereisten i.p.v. ICT-eisen.</w:t>
      </w:r>
    </w:p>
    <w:p>
      <w:pPr>
        <w:numPr>
          <w:ilvl w:val="0"/>
          <w:numId w:val="6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6"/>
        </w:numPr>
        <w:spacing w:lineRule="auto"/>
      </w:pPr>
      <w:r>
        <w:rPr/>
        <w:t xml:space="preserve">Impact: Toelating, audit, continuïteit</w:t>
      </w:r>
    </w:p>
    <w:p>
      <w:pPr>
        <w:numPr>
          <w:ilvl w:val="0"/>
          <w:numId w:val="6"/>
        </w:numPr>
        <w:spacing w:lineRule="auto"/>
      </w:pPr>
      <w:r>
        <w:rPr/>
        <w:t xml:space="preserve">Afhankelijkheden: W-01, W-05</w:t>
      </w:r>
    </w:p>
    <w:p>
      <w:pPr>
        <w:numPr>
          <w:ilvl w:val="0"/>
          <w:numId w:val="6"/>
        </w:numPr>
        <w:spacing w:lineRule="auto"/>
      </w:pPr>
      <w:r>
        <w:rPr/>
        <w:t xml:space="preserve">KPI-koppeling: KPI-8 Auditbevindingen (major) = 0</w:t>
      </w:r>
    </w:p>
    <w:p>
      <w:pPr>
        <w:numPr>
          <w:ilvl w:val="0"/>
          <w:numId w:val="6"/>
        </w:numPr>
        <w:spacing w:lineRule="auto"/>
      </w:pPr>
      <w:r>
        <w:rPr/>
        <w:t xml:space="preserve">Risico (R-06): Niet-conformiteit → uitsluiting of sancties</w:t>
      </w:r>
    </w:p>
    <w:p>
      <w:pPr>
        <w:numPr>
          <w:ilvl w:val="0"/>
          <w:numId w:val="6"/>
        </w:numPr>
        <w:spacing w:lineRule="auto"/>
      </w:pPr>
      <w:r>
        <w:rPr/>
        <w:t xml:space="preserve">Bewijs: ISO 27001/9001 certificaten, VOG-proces, ISMS-overzicht</w:t>
      </w:r>
    </w:p>
    <w:p>
      <w:pPr>
        <w:numPr>
          <w:ilvl w:val="0"/>
          <w:numId w:val="6"/>
        </w:numPr>
        <w:spacing w:lineRule="auto"/>
      </w:pPr>
      <w:r>
        <w:rPr/>
        <w:t xml:space="preserve">PDCA: Plan controls; Do implementatie; Check audits; Act corrigerende maatregelen</w:t>
      </w:r>
    </w:p>
    <w:p>
      <w:pPr>
        <w:spacing w:lineRule="auto"/>
      </w:pPr>
      <w:r>
        <w:rPr/>
        <w:t xml:space="preserve">W-07 Duurzaamheidseisen en meetmethodiek</w:t>
      </w:r>
    </w:p>
    <w:p>
      <w:pPr>
        <w:numPr>
          <w:ilvl w:val="0"/>
          <w:numId w:val="7"/>
        </w:numPr>
        <w:spacing w:lineRule="auto"/>
      </w:pPr>
      <w:r>
        <w:rPr/>
        <w:t xml:space="preserve">Vraag (SMART): Welke kaders gelden (bijv. CO2-Prestatieladder niveau, SBTi, circulaire hardware, energiemix; of bij catering: voedselverspilling, SROI% en diervriendelijkheid)? Graag meetmethodiek en bewijslast.</w:t>
      </w:r>
    </w:p>
    <w:p>
      <w:pPr>
        <w:numPr>
          <w:ilvl w:val="0"/>
          <w:numId w:val="7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7"/>
        </w:numPr>
        <w:spacing w:lineRule="auto"/>
      </w:pPr>
      <w:r>
        <w:rPr/>
        <w:t xml:space="preserve">Impact: EMVI-score Duurzaamheid, supply chain</w:t>
      </w:r>
    </w:p>
    <w:p>
      <w:pPr>
        <w:numPr>
          <w:ilvl w:val="0"/>
          <w:numId w:val="7"/>
        </w:numPr>
        <w:spacing w:lineRule="auto"/>
      </w:pPr>
      <w:r>
        <w:rPr/>
        <w:t xml:space="preserve">Afhankelijkheden: W-03</w:t>
      </w:r>
    </w:p>
    <w:p>
      <w:pPr>
        <w:numPr>
          <w:ilvl w:val="0"/>
          <w:numId w:val="7"/>
        </w:numPr>
        <w:spacing w:lineRule="auto"/>
      </w:pPr>
      <w:r>
        <w:rPr/>
        <w:t xml:space="preserve">KPI-koppeling: KPI-9 CO2 per gebruiker/jaar, of KPI-FOOD-2 Waste-reductie ≥30%</w:t>
      </w:r>
    </w:p>
    <w:p>
      <w:pPr>
        <w:numPr>
          <w:ilvl w:val="0"/>
          <w:numId w:val="7"/>
        </w:numPr>
        <w:spacing w:lineRule="auto"/>
      </w:pPr>
      <w:r>
        <w:rPr/>
        <w:t xml:space="preserve">Risico (R-07): Onvoldoende aantoonbaarheid → scoreverlies</w:t>
      </w:r>
    </w:p>
    <w:p>
      <w:pPr>
        <w:numPr>
          <w:ilvl w:val="0"/>
          <w:numId w:val="7"/>
        </w:numPr>
        <w:spacing w:lineRule="auto"/>
      </w:pPr>
      <w:r>
        <w:rPr/>
        <w:t xml:space="preserve">Bewijs: emissie-inventaris, duurzaamheidsplan, certificeringen</w:t>
      </w:r>
    </w:p>
    <w:p>
      <w:pPr>
        <w:numPr>
          <w:ilvl w:val="0"/>
          <w:numId w:val="7"/>
        </w:numPr>
        <w:spacing w:lineRule="auto"/>
      </w:pPr>
      <w:r>
        <w:rPr/>
        <w:t xml:space="preserve">PDCA: Plan doelen; Do maatregelen; Check metingen; Act bijsturen</w:t>
      </w:r>
    </w:p>
    <w:p>
      <w:pPr>
        <w:spacing w:lineRule="auto"/>
      </w:pPr>
      <w:r>
        <w:rPr/>
        <w:t xml:space="preserve">W-08 Prijsmodel, indexatie en verrekenregels</w:t>
      </w:r>
    </w:p>
    <w:p>
      <w:pPr>
        <w:numPr>
          <w:ilvl w:val="0"/>
          <w:numId w:val="8"/>
        </w:numPr>
        <w:spacing w:lineRule="auto"/>
      </w:pPr>
      <w:r>
        <w:rPr/>
        <w:t xml:space="preserve">Vraag (SMART): Bevestig prijsformaat (uurtarieven/fixed fee), indexatieformule (CBS-reeks), reis-/parkeer- en out-of-hours tarieven, staffelkortingen en evaluatiemomenten.</w:t>
      </w:r>
    </w:p>
    <w:p>
      <w:pPr>
        <w:numPr>
          <w:ilvl w:val="0"/>
          <w:numId w:val="8"/>
        </w:numPr>
        <w:spacing w:lineRule="auto"/>
      </w:pPr>
      <w:r>
        <w:rPr/>
        <w:t xml:space="preserve">Prioriteit: Hoog</w:t>
      </w:r>
    </w:p>
    <w:p>
      <w:pPr>
        <w:numPr>
          <w:ilvl w:val="0"/>
          <w:numId w:val="8"/>
        </w:numPr>
        <w:spacing w:lineRule="auto"/>
      </w:pPr>
      <w:r>
        <w:rPr/>
        <w:t xml:space="preserve">Impact: TCO, budgetzekerheid, vergelijkbaarheid</w:t>
      </w:r>
    </w:p>
    <w:p>
      <w:pPr>
        <w:numPr>
          <w:ilvl w:val="0"/>
          <w:numId w:val="8"/>
        </w:numPr>
        <w:spacing w:lineRule="auto"/>
      </w:pPr>
      <w:r>
        <w:rPr/>
        <w:t xml:space="preserve">Afhankelijkheden: W-02, W-05</w:t>
      </w:r>
    </w:p>
    <w:p>
      <w:pPr>
        <w:numPr>
          <w:ilvl w:val="0"/>
          <w:numId w:val="8"/>
        </w:numPr>
        <w:spacing w:lineRule="auto"/>
      </w:pPr>
      <w:r>
        <w:rPr/>
        <w:t xml:space="preserve">KPI-koppeling: KPI-10 Budgetafwijking ≤2%</w:t>
      </w:r>
    </w:p>
    <w:p>
      <w:pPr>
        <w:numPr>
          <w:ilvl w:val="0"/>
          <w:numId w:val="8"/>
        </w:numPr>
        <w:spacing w:lineRule="auto"/>
      </w:pPr>
      <w:r>
        <w:rPr/>
        <w:t xml:space="preserve">Risico (R-08): Financiële claims of margedruk</w:t>
      </w:r>
    </w:p>
    <w:p>
      <w:pPr>
        <w:numPr>
          <w:ilvl w:val="0"/>
          <w:numId w:val="8"/>
        </w:numPr>
        <w:spacing w:lineRule="auto"/>
      </w:pPr>
      <w:r>
        <w:rPr/>
        <w:t xml:space="preserve">Bewijs: Prijsbijlage, indexatieclausule</w:t>
      </w:r>
    </w:p>
    <w:p>
      <w:pPr>
        <w:numPr>
          <w:ilvl w:val="0"/>
          <w:numId w:val="8"/>
        </w:numPr>
        <w:spacing w:lineRule="auto"/>
      </w:pPr>
      <w:r>
        <w:rPr/>
        <w:t xml:space="preserve">PDCA: Plan tariefkaart; Do publiceren; Check variaties; Act herzien</w:t>
      </w:r>
    </w:p>
    <w:p>
      <w:pPr>
        <w:spacing w:lineRule="auto"/>
      </w:pPr>
      <w:r>
        <w:rPr/>
        <w:t xml:space="preserve">W-09 Transitie en exit</w:t>
      </w:r>
    </w:p>
    <w:p>
      <w:pPr>
        <w:numPr>
          <w:ilvl w:val="0"/>
          <w:numId w:val="9"/>
        </w:numPr>
        <w:spacing w:lineRule="auto"/>
      </w:pPr>
      <w:r>
        <w:rPr/>
        <w:t xml:space="preserve">Vraag (SMART): Wat is gewenste startdatum, due-diligence toegang, cut-over venster, betrokkenheid huidige leverancier, exit-verplichtingen (dataretentie, overdrachtsdossier) en exit-vergoeding?</w:t>
      </w:r>
    </w:p>
    <w:p>
      <w:pPr>
        <w:numPr>
          <w:ilvl w:val="0"/>
          <w:numId w:val="9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9"/>
        </w:numPr>
        <w:spacing w:lineRule="auto"/>
      </w:pPr>
      <w:r>
        <w:rPr/>
        <w:t xml:space="preserve">Impact: Continuïteit, doorlooptijd, risico’s</w:t>
      </w:r>
    </w:p>
    <w:p>
      <w:pPr>
        <w:numPr>
          <w:ilvl w:val="0"/>
          <w:numId w:val="9"/>
        </w:numPr>
        <w:spacing w:lineRule="auto"/>
      </w:pPr>
      <w:r>
        <w:rPr/>
        <w:t xml:space="preserve">Afhankelijkheden: W-02, W-05</w:t>
      </w:r>
    </w:p>
    <w:p>
      <w:pPr>
        <w:numPr>
          <w:ilvl w:val="0"/>
          <w:numId w:val="9"/>
        </w:numPr>
        <w:spacing w:lineRule="auto"/>
      </w:pPr>
      <w:r>
        <w:rPr/>
        <w:t xml:space="preserve">KPI-koppeling: KPI-11 Transitie zonder P1-storing, KPI-12 Oplevering exit-dossier 100%</w:t>
      </w:r>
    </w:p>
    <w:p>
      <w:pPr>
        <w:numPr>
          <w:ilvl w:val="0"/>
          <w:numId w:val="9"/>
        </w:numPr>
        <w:spacing w:lineRule="auto"/>
      </w:pPr>
      <w:r>
        <w:rPr/>
        <w:t xml:space="preserve">Risico (R-09): Storingen en kennisverlies</w:t>
      </w:r>
    </w:p>
    <w:p>
      <w:pPr>
        <w:numPr>
          <w:ilvl w:val="0"/>
          <w:numId w:val="9"/>
        </w:numPr>
        <w:spacing w:lineRule="auto"/>
      </w:pPr>
      <w:r>
        <w:rPr/>
        <w:t xml:space="preserve">Bewijs: Transitie-/exit-raamwerk</w:t>
      </w:r>
    </w:p>
    <w:p>
      <w:pPr>
        <w:numPr>
          <w:ilvl w:val="0"/>
          <w:numId w:val="9"/>
        </w:numPr>
        <w:spacing w:lineRule="auto"/>
      </w:pPr>
      <w:r>
        <w:rPr/>
        <w:t xml:space="preserve">PDCA: Plan migratie; Do uitvoeren; Check go/no-go; Act lessons learned</w:t>
      </w:r>
    </w:p>
    <w:p>
      <w:pPr>
        <w:spacing w:lineRule="auto"/>
      </w:pPr>
      <w:r>
        <w:rPr/>
        <w:t xml:space="preserve">W-10 Locaties en on-site vereisten</w:t>
      </w:r>
    </w:p>
    <w:p>
      <w:pPr>
        <w:numPr>
          <w:ilvl w:val="0"/>
          <w:numId w:val="10"/>
        </w:numPr>
        <w:spacing w:lineRule="auto"/>
      </w:pPr>
      <w:r>
        <w:rPr/>
        <w:t xml:space="preserve">Vraag (SMART): Geef adressen/locaties, on-site tijden, toegangs- en badgeprocedures, parkeergelegenheid en vereiste on-site responstijden; bevestig mate van remote dienstverlening.</w:t>
      </w:r>
    </w:p>
    <w:p>
      <w:pPr>
        <w:numPr>
          <w:ilvl w:val="0"/>
          <w:numId w:val="10"/>
        </w:numPr>
        <w:spacing w:lineRule="auto"/>
      </w:pPr>
      <w:r>
        <w:rPr/>
        <w:t xml:space="preserve">Prioriteit: Middel</w:t>
      </w:r>
    </w:p>
    <w:p>
      <w:pPr>
        <w:numPr>
          <w:ilvl w:val="0"/>
          <w:numId w:val="10"/>
        </w:numPr>
        <w:spacing w:lineRule="auto"/>
      </w:pPr>
      <w:r>
        <w:rPr/>
        <w:t xml:space="preserve">Impact: SLA haalbaarheid, reistijdkosten</w:t>
      </w:r>
    </w:p>
    <w:p>
      <w:pPr>
        <w:numPr>
          <w:ilvl w:val="0"/>
          <w:numId w:val="10"/>
        </w:numPr>
        <w:spacing w:lineRule="auto"/>
      </w:pPr>
      <w:r>
        <w:rPr/>
        <w:t xml:space="preserve">Afhankelijkheden: W-05, W-08</w:t>
      </w:r>
    </w:p>
    <w:p>
      <w:pPr>
        <w:numPr>
          <w:ilvl w:val="0"/>
          <w:numId w:val="10"/>
        </w:numPr>
        <w:spacing w:lineRule="auto"/>
      </w:pPr>
      <w:r>
        <w:rPr/>
        <w:t xml:space="preserve">KPI-koppeling: KPI-13 On-site aankomst binnen SLA ≥95%</w:t>
      </w:r>
    </w:p>
    <w:p>
      <w:pPr>
        <w:numPr>
          <w:ilvl w:val="0"/>
          <w:numId w:val="10"/>
        </w:numPr>
        <w:spacing w:lineRule="auto"/>
      </w:pPr>
      <w:r>
        <w:rPr/>
        <w:t xml:space="preserve">Risico (R-10): SLA-overschrijding en extra kosten</w:t>
      </w:r>
    </w:p>
    <w:p>
      <w:pPr>
        <w:numPr>
          <w:ilvl w:val="0"/>
          <w:numId w:val="10"/>
        </w:numPr>
        <w:spacing w:lineRule="auto"/>
      </w:pPr>
      <w:r>
        <w:rPr/>
        <w:t xml:space="preserve">Bewijs: Locatielijst, toegangsbeleid</w:t>
      </w:r>
    </w:p>
    <w:p>
      <w:pPr>
        <w:numPr>
          <w:ilvl w:val="0"/>
          <w:numId w:val="10"/>
        </w:numPr>
        <w:spacing w:lineRule="auto"/>
      </w:pPr>
      <w:r>
        <w:rPr/>
        <w:t xml:space="preserve">PDCA: Plan bereikbaarheidsroosters; Do inzet; Check SLA-hit-rate; Act optimaliseren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1"/>
        </w:numPr>
        <w:spacing w:lineRule="auto"/>
      </w:pPr>
      <w:r>
        <w:rPr/>
        <w:t xml:space="preserve">W-01: Definitieve scopespecificatie (ICT vs catering), percelen en bevoegd gezag (Gemeente Middenstad of NVAO).</w:t>
      </w:r>
    </w:p>
    <w:p>
      <w:pPr>
        <w:numPr>
          <w:ilvl w:val="0"/>
          <w:numId w:val="11"/>
        </w:numPr>
        <w:spacing w:lineRule="auto"/>
      </w:pPr>
      <w:r>
        <w:rPr/>
        <w:t xml:space="preserve">W-02: Looptijd, opties, aantal raamcontractanten, afroepmechanisme, volumes en plafondbedrag per (sub)perceel.</w:t>
      </w:r>
    </w:p>
    <w:p>
      <w:pPr>
        <w:numPr>
          <w:ilvl w:val="0"/>
          <w:numId w:val="11"/>
        </w:numPr>
        <w:spacing w:lineRule="auto"/>
      </w:pPr>
      <w:r>
        <w:rPr/>
        <w:t xml:space="preserve">W-03: EMVI-subcriteria, weging, beoordelingsrubrics en pagina-/bijlagenregels.</w:t>
      </w:r>
    </w:p>
    <w:p>
      <w:pPr>
        <w:numPr>
          <w:ilvl w:val="0"/>
          <w:numId w:val="11"/>
        </w:numPr>
        <w:spacing w:lineRule="auto"/>
      </w:pPr>
      <w:r>
        <w:rPr/>
        <w:t xml:space="preserve">W-04: Templates/formaten en gewenste inhoud/diepte voor PvA, Risicodossier en KPI-overzicht.</w:t>
      </w:r>
    </w:p>
    <w:p>
      <w:pPr>
        <w:numPr>
          <w:ilvl w:val="0"/>
          <w:numId w:val="11"/>
        </w:numPr>
        <w:spacing w:lineRule="auto"/>
      </w:pPr>
      <w:r>
        <w:rPr/>
        <w:t xml:space="preserve">W-05: SLA-normen (response/herstel, beschikbaarheid, RTO/RPO), meetmethode, escalaties, bonus/malus, rapportagefrequentie.</w:t>
      </w:r>
    </w:p>
    <w:p>
      <w:pPr>
        <w:numPr>
          <w:ilvl w:val="0"/>
          <w:numId w:val="11"/>
        </w:numPr>
        <w:spacing w:lineRule="auto"/>
      </w:pPr>
      <w:r>
        <w:rPr/>
        <w:t xml:space="preserve">W-06: AVG/verwerkersovereenkomst, datalocatie, security-/pentest-eisen, VOG, of alternatieve HACCP/NVWA-eisen.</w:t>
      </w:r>
    </w:p>
    <w:p>
      <w:pPr>
        <w:numPr>
          <w:ilvl w:val="0"/>
          <w:numId w:val="11"/>
        </w:numPr>
        <w:spacing w:lineRule="auto"/>
      </w:pPr>
      <w:r>
        <w:rPr/>
        <w:t xml:space="preserve">W-07: Duurzaamheidskaders, meetmethodiek en gewenste bewijslast.</w:t>
      </w:r>
    </w:p>
    <w:p>
      <w:pPr>
        <w:numPr>
          <w:ilvl w:val="0"/>
          <w:numId w:val="11"/>
        </w:numPr>
        <w:spacing w:lineRule="auto"/>
      </w:pPr>
      <w:r>
        <w:rPr/>
        <w:t xml:space="preserve">W-08: Prijsformaat, indexatieformule, verrekenregels (reis/OOH), kortingstaffels.</w:t>
      </w:r>
    </w:p>
    <w:p>
      <w:pPr>
        <w:numPr>
          <w:ilvl w:val="0"/>
          <w:numId w:val="11"/>
        </w:numPr>
        <w:spacing w:lineRule="auto"/>
      </w:pPr>
      <w:r>
        <w:rPr/>
        <w:t xml:space="preserve">W-09: Transitie-/exitkaders: start, due diligence, cut-over, huidige leverancier, exitvereisten.</w:t>
      </w:r>
    </w:p>
    <w:p>
      <w:pPr>
        <w:numPr>
          <w:ilvl w:val="0"/>
          <w:numId w:val="11"/>
        </w:numPr>
        <w:spacing w:lineRule="auto"/>
      </w:pPr>
      <w:r>
        <w:rPr/>
        <w:t xml:space="preserve">W-10: Locatielijst, on-site eisen, toegangsprocedures, remote-werktoegestaan en on-site SLA’s.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van Inlichtingen — Clarificaties</dc:title>
  <dc:subject/>
  <dc:creator>html-to-docx</dc:creator>
  <cp:keywords>html-to-docx</cp:keywords>
  <dc:description/>
  <cp:lastModifiedBy>html-to-docx</cp:lastModifiedBy>
  <cp:revision>1</cp:revision>
  <dcterms:created xsi:type="dcterms:W3CDTF">2025-11-11T22:30:24.486Z</dcterms:created>
  <dcterms:modified xsi:type="dcterms:W3CDTF">2025-11-11T22:30:24.486Z</dcterms:modified>
</cp:coreProperties>
</file>