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KPI / SLA Dashboard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11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KPI/SLA-dashboard — Raamovereenkomst Catering- en Horecadiensten voor NVAO (EMVI: Kwaliteit, Duurzaamheid, Risicobeheersing, Prijs)</w:t>
      </w:r>
    </w:p>
    <w:p>
      <w:pPr>
        <w:spacing w:lineRule="auto"/>
      </w:pPr>
      <w:r>
        <w:rPr/>
        <w:t xml:space="preserve">PDCA-aanpak</w:t>
      </w:r>
    </w:p>
    <w:p>
      <w:pPr>
        <w:numPr>
          <w:ilvl w:val="0"/>
          <w:numId w:val="1"/>
        </w:numPr>
        <w:spacing w:lineRule="auto"/>
      </w:pPr>
      <w:r>
        <w:rPr/>
        <w:t xml:space="preserve">Plan: per locatie een Service Charter met openingstijden, menunormen, HACCP-plan, capaciteitsplan en duurzaamheidsdoelen. Nulmetingen in maand 1: klanttevredenheid, CO2/maaltijd, voedselverspilling, allergenencompliance, uptime POS, voorraad.</w:t>
      </w:r>
    </w:p>
    <w:p>
      <w:pPr>
        <w:numPr>
          <w:ilvl w:val="0"/>
          <w:numId w:val="1"/>
        </w:numPr>
        <w:spacing w:lineRule="auto"/>
      </w:pPr>
      <w:r>
        <w:rPr/>
        <w:t xml:space="preserve">Do: uitvoering via W-01 t/m W-12 (zie kruisverbanden). Realtime monitoring (POS/IoT), dagstarts, weekplanning, leveranciers-OTIF.</w:t>
      </w:r>
    </w:p>
    <w:p>
      <w:pPr>
        <w:numPr>
          <w:ilvl w:val="0"/>
          <w:numId w:val="1"/>
        </w:numPr>
        <w:spacing w:lineRule="auto"/>
      </w:pPr>
      <w:r>
        <w:rPr/>
        <w:t xml:space="preserve">Check: wekelijkse operationele review (storingen, hygiene, voorraad), maandelijkse SLA-rapportage (alle KPI’s), kwartaal-QBR met NVAO (trend, root cause, verbeterplan).</w:t>
      </w:r>
    </w:p>
    <w:p>
      <w:pPr>
        <w:numPr>
          <w:ilvl w:val="0"/>
          <w:numId w:val="1"/>
        </w:numPr>
        <w:spacing w:lineRule="auto"/>
      </w:pPr>
      <w:r>
        <w:rPr/>
        <w:t xml:space="preserve">Act: Correctieve maatregelen binnen 5 werkdagen na afwijking; preventieve verbeteracties in CSI-register, met eigenaar, deadline en effectmeting.</w:t>
      </w:r>
    </w:p>
    <w:p>
      <w:pPr>
        <w:spacing w:lineRule="auto"/>
      </w:pPr>
      <w:r>
        <w:rPr/>
        <w:t xml:space="preserve">Kruisverband-structuur</w:t>
      </w:r>
    </w:p>
    <w:p>
      <w:pPr>
        <w:numPr>
          <w:ilvl w:val="0"/>
          <w:numId w:val="2"/>
        </w:numPr>
        <w:spacing w:lineRule="auto"/>
      </w:pPr>
      <w:r>
        <w:rPr/>
        <w:t xml:space="preserve">Werkpakketten (W-xx): W-01 Onboarding/Transitie; W-02 Service Desk &amp; Incidenten; W-03 Horeca Exploitatie; W-04 Keuken &amp; HACCP; W-05 Inkoop &amp; Voorraad; W-06 Duurzaamheid; W-07 Veiligheid &amp; AVG; W-08 Continuïteit &amp; Calamiteiten; W-09 Rapportage &amp; Audit; W-10 Innovatie &amp; Verbetering; W-11 Training &amp; Personeel; W-12 Stakeholderoverleg.</w:t>
      </w:r>
    </w:p>
    <w:p>
      <w:pPr>
        <w:numPr>
          <w:ilvl w:val="0"/>
          <w:numId w:val="2"/>
        </w:numPr>
        <w:spacing w:lineRule="auto"/>
      </w:pPr>
      <w:r>
        <w:rPr/>
        <w:t xml:space="preserve">Risico’s (R-xx): R-01 Uitval POS/uitgifte; R-02 HACCP-non-conformiteit; R-03 Allergenenmislabelling; R-04 Overmatige verspilling; R-05 Leveringsfalen; R-06 Personeelskrapte; R-07 Datalek/AVG; R-08 Stroom-/gebouwcalamiteit; R-09 Piekbelasting events; R-10 Factuurfouten; R-11 Reputatieschade/klachten; R-12 Wettelijke non-compliance.</w:t>
      </w:r>
    </w:p>
    <w:p>
      <w:pPr>
        <w:numPr>
          <w:ilvl w:val="0"/>
          <w:numId w:val="2"/>
        </w:numPr>
        <w:spacing w:lineRule="auto"/>
      </w:pPr>
      <w:r>
        <w:rPr/>
        <w:t xml:space="preserve">Bewijs (B-xx): B-01 ISO 9001; B-02 ISO 27001; B-03 HACCP-plan en registraties; B-04 Opleidingsregister; B-05 Monitoring- en POS-logs; B-06 Incident-/problemregister; B-07 Interne/extern auditrapporten; B-08 DPIA + verwerkersovereenkomst; B-09 BCP/DR-testverslagen; B-10 Duurzaamheidsverklaringen leveranciers; B-11 Klanttevredenheidsrapporten; B-12 SLA-rapportages; B-13 Factuurcontrole-rapport; B-14 Allergenenregister en recepturen; B-15 Afval- en CO2-rapportage; B-16 Event-draaiboeken.</w:t>
      </w:r>
    </w:p>
    <w:p>
      <w:pPr>
        <w:spacing w:lineRule="auto"/>
      </w:pPr>
      <w:r>
        <w:rPr/>
        <w:t xml:space="preserve">KPI/SLA-overzicht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KPI/SLA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Meetmethode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Frequentie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Escalatie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Verantwoordelijke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W-xx/criterium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Meetbron</w:t>
            </w:r>
          </w:p>
        </w:tc>
      </w:t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Operationele beschikbaarheid verkooppunten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99,5% tijdens afgesproken openingstijden per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Toegangs- en POS-logs + dagstartchecklists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Dagelijks, maandelijks rapport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 Locatiemanager 0–1u; L2 Contractmanager 4u; L3 Directie + opdrachtgever 24u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Locatiemanager Catering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W-03; EMVI Kwaliteit; Risico R-01/R-09; Bewijs B-05, B-12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P1-storing hersteltijd (uitgifte/POS down)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95% hersteld ≤ 2 uur; 100% ≤ 4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Incidenttool met tijdstempels en root cause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Realtime,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 Service Desk 15 min; L2 Technisch Lead 60 min; L3 Directie + NVAO 2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Teamlead Service Desk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W-02; EMVI Risicobeheersing; R-01; B-06, B-05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First response tijd incident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 ≤ 15 min; P2 ≤ 30 min; P3 ≤ 4 uur (kantoortijd)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Ticketing- en telefonielogs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Realtime, wekelijks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 Service Desk; L2 Contractmanager na 2 misses/maand; L3 Escalatieboard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Teamlead Service Desk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W-02; EMVI Kwaliteit; R-01/R-09; B-06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Klanttevredenheid (CSAT) uitgifte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Gemiddeld ≥ 8,0/10; respons ≥ 20% per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QR-surveys aan kassa/bon, NPS/CSAT-tool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 Locatiemanager bij score &lt; 8,0; L2 Verbeterplan binnen 10 werkdagen; L3 QBR-besluit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Contractmanager UNO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W-03/W-12; EMVI Kwaliteit; R-11; B-11, B-12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HACCP-conformiteit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kritieke punten op orde; max. 1 minor per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Interne HACCP-audits, registraties, kalibraties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Wekelijks, maandelijks, kwartaal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 Chef Keuken direct herstel; L2 KAM binnen 24u; L3 Meldplicht NVAO bij major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KAM-coördinator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W-04; EMVI Risicobeheersing; R-02; B-03, B-07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Allergenencompliance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juiste etiketten en menuborden; 0 ernstige fouten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Receptuurbeheer + steekproeven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Dagelijks,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 Chef Keuken; L2 KAM binnen 24u; L3 Incidentmelding NVAO &lt;24u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Chef Keuken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W-04; EMVI Kwaliteit; R-03/R-12; B-14, B-07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Voedselverspilling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7% van geproduceerde kg/maand; -10% t.o.v. nulmeting in 12 mnd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Weegregistraties per batch, POS-vergelijk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Dagelijks,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 Chef Keuken; L2 Duurzaamheidslead plan &lt;10 werkdagen; L3 QBR-besluit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Duurzaamheidscoördinator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W-06; EMVI Duurzaamheid; R-04; B-15, B-12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Duurzaam inkooppercentage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80% (keurmerken MSC/ASC/BLK/biologisch/fairtrade) op spend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Spendanalyse + leveranciersverklaringen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Maandelijks, kwartaal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 Inkoop 5 werkdagen; L2 Contractmanager 10 werkdagen; L3 Supplier switch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Inkoopmanager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W-05/W-06; EMVI Duurzaamheid; R-05; B-10, B-12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CO2 per maaltijd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Nulmeting maand 1; -10% per 12 maanden vs. nulmeting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CO2-calculator (menu/inkoop/logistiek)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Maandelijks, QBR-trend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 Duurzaamheidslead; L2 Directie UNO; L3 Programma-afspraken met NVAO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Duurzaamheidscoördinator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W-06; EMVI Duurzaamheid; R-04/R-05; B-15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Event-service punctualiteit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99% start binnen ±5 min venster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Eventchecklists &amp; tijdstempels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event,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 Event Lead; L2 Contractmanager bij &lt;99%; L3 Evaluatie met NVAO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Locatiemanager/Event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W-03/W-12; EMVI Kwaliteit; R-09; B-16, B-12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 Voorraadbeschikbaarheid A-artikelen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98% geen stock-outs tijdens opening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POS-voorraad + cycle counts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Dagelijks, wekelijks,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 Voorraadbeheer; L2 Inkoop binnen 24u; L3 Alternatief binnen 48u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Inkoopmanager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W-05; EMVI Prijs/Kwaliteit; R-05; B-05, B-12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 Factuurjuistheid en tijdigheid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volledig en conform prijsafspraken; &lt;0,5% correcties; verzonden ≤ 5 wdg na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3-way match (POS/bonnen/contract)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 Finance UNO; L2 Contractmanager; L3 Escalatie directie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Financieel Controller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W-09; EMVI Prijs; R-10; B-13, B-12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 AVG/datalekken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datalekken; meldplicht ≤ 72 uur bij vermoeden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Security- en incidentlog; DPIA updates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Continu, kwartaal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 Security Officer; L2 DPO binnen 24u; L3 Meld aan NVAO/Autoriteit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W-07; EMVI Risicobeheersing; R-07; B-02, B-08, B-06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14. Continuïteit bij calamiteiten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Kritische uitgifte hersteld ≤ 8 uur; 1x/jaar BCP-oefening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BCP/DR-test, generator/backup scenario’s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Jaarlijks test, realtime bij incident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 Calamiteitenteam; L2 Directie UNO; L3 NVAO Crisisoverleg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BCM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W-08; EMVI Risicobeheersing; R-08; B-09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15. Medewerkerstraining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HACCP &amp; allergenen training binnen 30 dagen na start; 100% jaarlijkse herhaling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LMS-registraties + toetsing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Maandelijks, kwartaal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 HR/Training; L2 KAM bij tekort; L3 Ops opschorting taken tot gecertificeerd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HR/Training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W-11; EMVI Kwaliteit; R-02/R-03/R-06; B-04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16. Doorlooptijd standaard wijzigingen (menu/prijs/IT)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95% afgehandeld ≤ 2 wdg (standaard); ≤ 10 wdg (niet-standaard)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register met SLA-klassen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Wekelijks, maandelijks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L1 Change Manager; L2 Contractmanager; L3 CAB met NVAO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W-10/W-02; EMVI Kwaliteit; R-01/R-12; B-06, B-12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CMMS / Audit / Sensor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Governance en escalatiepunten</w:t>
      </w:r>
    </w:p>
    <w:p>
      <w:pPr>
        <w:numPr>
          <w:ilvl w:val="0"/>
          <w:numId w:val="3"/>
        </w:numPr>
        <w:spacing w:lineRule="auto"/>
      </w:pPr>
      <w:r>
        <w:rPr/>
        <w:t xml:space="preserve">Service window: kantoordagen 07:00–19:00; piekuren conform locatiekalender. 24/7 voor P1-storingen.</w:t>
      </w:r>
    </w:p>
    <w:p>
      <w:pPr>
        <w:numPr>
          <w:ilvl w:val="0"/>
          <w:numId w:val="3"/>
        </w:numPr>
        <w:spacing w:lineRule="auto"/>
      </w:pPr>
      <w:r>
        <w:rPr/>
        <w:t xml:space="preserve">Overleg: weekstart operatie (UNO), maandelijkse SLA-review met NVAO, kwartaal QBR (strategisch).</w:t>
      </w:r>
    </w:p>
    <w:p>
      <w:pPr>
        <w:numPr>
          <w:ilvl w:val="0"/>
          <w:numId w:val="3"/>
        </w:numPr>
        <w:spacing w:lineRule="auto"/>
      </w:pPr>
      <w:r>
        <w:rPr/>
        <w:t xml:space="preserve">Rapportage: maandelijkse SLA-rapport inclusief trendgrafieken, root cause analyses, verbeterplannen met eigenaar en deadline. Jaarlijkse evaluatie en KPI-herijking met NVAO.</w:t>
      </w:r>
    </w:p>
    <w:p>
      <w:pPr>
        <w:spacing w:lineRule="auto"/>
      </w:pPr>
      <w:r>
        <w:rPr/>
        <w:t xml:space="preserve">Risicobeheersing (selectie PDCA-acties per KPI)</w:t>
      </w:r>
    </w:p>
    <w:p>
      <w:pPr>
        <w:numPr>
          <w:ilvl w:val="0"/>
          <w:numId w:val="4"/>
        </w:numPr>
        <w:spacing w:lineRule="auto"/>
      </w:pPr>
      <w:r>
        <w:rPr/>
        <w:t xml:space="preserve">R-01/R-09: redundante POS-apparatuur, offline-modus, extra bemensing tijdens pieken; post mortem binnen 5 werkdagen.</w:t>
      </w:r>
    </w:p>
    <w:p>
      <w:pPr>
        <w:numPr>
          <w:ilvl w:val="0"/>
          <w:numId w:val="4"/>
        </w:numPr>
        <w:spacing w:lineRule="auto"/>
      </w:pPr>
      <w:r>
        <w:rPr/>
        <w:t xml:space="preserve">R-02/R-03: digitale checklists, 4-ogenprincipe etikettering, receptuurvergrendeling, kalibraties; corrigerende acties binnen 24 uur.</w:t>
      </w:r>
    </w:p>
    <w:p>
      <w:pPr>
        <w:numPr>
          <w:ilvl w:val="0"/>
          <w:numId w:val="4"/>
        </w:numPr>
        <w:spacing w:lineRule="auto"/>
      </w:pPr>
      <w:r>
        <w:rPr/>
        <w:t xml:space="preserve">R-04/R-05: demand forecasting via POS-data, seizoensmenu’s, leveranciers-OTIF KPI’s; aanpassing bestelnormen binnen 2 weken.</w:t>
      </w:r>
    </w:p>
    <w:p>
      <w:pPr>
        <w:numPr>
          <w:ilvl w:val="0"/>
          <w:numId w:val="4"/>
        </w:numPr>
        <w:spacing w:lineRule="auto"/>
      </w:pPr>
      <w:r>
        <w:rPr/>
        <w:t xml:space="preserve">R-07: rolgebaseerde toegang, versleuteling, kassalog-data-minimalisatie; DPIA halfjaarlijks.</w:t>
      </w:r>
    </w:p>
    <w:p>
      <w:pPr>
        <w:numPr>
          <w:ilvl w:val="0"/>
          <w:numId w:val="4"/>
        </w:numPr>
        <w:spacing w:lineRule="auto"/>
      </w:pPr>
      <w:r>
        <w:rPr/>
        <w:t xml:space="preserve">R-08: noodstroomprocedures, alternatieve uitgiftepunten, rampenoefening jaarlijks.</w:t>
      </w:r>
    </w:p>
    <w:p>
      <w:pPr>
        <w:spacing w:lineRule="auto"/>
      </w:pPr>
      <w:r>
        <w:rPr/>
        <w:t xml:space="preserve">Bewijsvoering en audittrail</w:t>
      </w:r>
    </w:p>
    <w:p>
      <w:pPr>
        <w:numPr>
          <w:ilvl w:val="0"/>
          <w:numId w:val="5"/>
        </w:numPr>
        <w:spacing w:lineRule="auto"/>
      </w:pPr>
      <w:r>
        <w:rPr/>
        <w:t xml:space="preserve">Elke KPI is auditeerbaar via B-xx. Maandelijkse SLA-rapporten (B-12) bevatten meetwaarden, uitzonderingen, RCA en acties. Jaarlijkse externe audits: HACCP (B-07), ISO 9001/27001 (B-01/B-02). Alle registraties traceerbaar in centrale tool (incidenten, changes, training, audits).</w:t>
      </w:r>
    </w:p>
    <w:p>
      <w:pPr>
        <w:spacing w:lineRule="auto"/>
      </w:pPr>
      <w:r>
        <w:rPr/>
        <w:t xml:space="preserve">Verbetercyclus en sanctieregime</w:t>
      </w:r>
    </w:p>
    <w:p>
      <w:pPr>
        <w:numPr>
          <w:ilvl w:val="0"/>
          <w:numId w:val="6"/>
        </w:numPr>
        <w:spacing w:lineRule="auto"/>
      </w:pPr>
      <w:r>
        <w:rPr/>
        <w:t xml:space="preserve">Bij 2 opeenvolgende maanden onder target: verplicht verbeterplan met SMART-acties binnen 10 werkdagen; implementatie binnen 30 dagen; herbeoordeling in QBR. Structurele niet-naleving kan leiden tot herprioritering investeringen, herplannen capaciteit of vervangingsleveranciers in overleg met NVAO.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7"/>
        </w:numPr>
        <w:spacing w:lineRule="auto"/>
      </w:pPr>
      <w:r>
        <w:rPr/>
        <w:t xml:space="preserve">Aantal locaties, adressen en openingstijden; piek- en eventkalender.</w:t>
      </w:r>
    </w:p>
    <w:p>
      <w:pPr>
        <w:numPr>
          <w:ilvl w:val="0"/>
          <w:numId w:val="7"/>
        </w:numPr>
        <w:spacing w:lineRule="auto"/>
      </w:pPr>
      <w:r>
        <w:rPr/>
        <w:t xml:space="preserve">Menu-eisen, dieet-/allergenenbeleid, gewenste keurmerken.</w:t>
      </w:r>
    </w:p>
    <w:p>
      <w:pPr>
        <w:numPr>
          <w:ilvl w:val="0"/>
          <w:numId w:val="7"/>
        </w:numPr>
        <w:spacing w:lineRule="auto"/>
      </w:pPr>
      <w:r>
        <w:rPr/>
        <w:t xml:space="preserve">POS-/betalingsomgeving en integratie-eisen; prioriteringsmatrix incidenten (P1–P3) accorderen.</w:t>
      </w:r>
    </w:p>
    <w:p>
      <w:pPr>
        <w:numPr>
          <w:ilvl w:val="0"/>
          <w:numId w:val="7"/>
        </w:numPr>
        <w:spacing w:lineRule="auto"/>
      </w:pPr>
      <w:r>
        <w:rPr/>
        <w:t xml:space="preserve">Voorraad- en inkoopkaders, preferred suppliers, OTIF-normen van NVAO.</w:t>
      </w:r>
    </w:p>
    <w:p>
      <w:pPr>
        <w:numPr>
          <w:ilvl w:val="0"/>
          <w:numId w:val="7"/>
        </w:numPr>
        <w:spacing w:lineRule="auto"/>
      </w:pPr>
      <w:r>
        <w:rPr/>
        <w:t xml:space="preserve">Doelstellingen duurzaamheid/CO2 en rapportageformatten.</w:t>
      </w:r>
    </w:p>
    <w:p>
      <w:pPr>
        <w:numPr>
          <w:ilvl w:val="0"/>
          <w:numId w:val="7"/>
        </w:numPr>
        <w:spacing w:lineRule="auto"/>
      </w:pPr>
      <w:r>
        <w:rPr/>
        <w:t xml:space="preserve">Autorisatiematrix (rollen NVAO/UNO), escalatielijst en overlegfrequenties.</w:t>
      </w:r>
    </w:p>
    <w:p>
      <w:pPr>
        <w:numPr>
          <w:ilvl w:val="0"/>
          <w:numId w:val="7"/>
        </w:numPr>
        <w:spacing w:lineRule="auto"/>
      </w:pPr>
      <w:r>
        <w:rPr/>
        <w:t xml:space="preserve">Facturatie-eisen (coderingen, PO’s, termijnen) en prijslijstafspraken.</w:t>
      </w:r>
    </w:p>
    <w:p>
      <w:pPr>
        <w:numPr>
          <w:ilvl w:val="0"/>
          <w:numId w:val="7"/>
        </w:numPr>
        <w:spacing w:lineRule="auto"/>
      </w:pPr>
      <w:r>
        <w:rPr/>
        <w:t xml:space="preserve">Privacydocumenten (DPIA-scope, verwerkersovereenkomst), locatie-specifieke HACCP-risico’s.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KPI / SLA Dashboard</dc:title>
  <dc:subject/>
  <dc:creator>html-to-docx</dc:creator>
  <cp:keywords>html-to-docx</cp:keywords>
  <dc:description/>
  <cp:lastModifiedBy>html-to-docx</cp:lastModifiedBy>
  <cp:revision>1</cp:revision>
  <dcterms:created xsi:type="dcterms:W3CDTF">2025-11-11T22:30:24.486Z</dcterms:created>
  <dcterms:modified xsi:type="dcterms:W3CDTF">2025-11-11T22:30:24.486Z</dcterms:modified>
</cp:coreProperties>
</file>