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Doel en uitgangspunten</w:t>
      </w:r>
    </w:p>
    <w:p>
      <w:pPr>
        <w:numPr>
          <w:ilvl w:val="0"/>
          <w:numId w:val="1"/>
        </w:numPr>
        <w:spacing w:lineRule="auto"/>
      </w:pPr>
      <w:r>
        <w:rPr/>
        <w:t xml:space="preserve">Doel: aanleveren van 3–5 aantoonbare referentieprojecten die inhoudelijk aansluiten op de gevraagde continuïteit, veiligheid en servicegerichtheid binnen een raamovereenkomst voor catering- en horecadiensten (met nadruk op 24/7 beschikbaarheid van keten-IT, kassa-/POS-omgevingen, reserveringssystemen, en multi-locatie ondersteuning).</w:t>
      </w:r>
    </w:p>
    <w:p>
      <w:pPr>
        <w:numPr>
          <w:ilvl w:val="0"/>
          <w:numId w:val="1"/>
        </w:numPr>
        <w:spacing w:lineRule="auto"/>
      </w:pPr>
      <w:r>
        <w:rPr/>
        <w:t xml:space="preserve">Scopefit: gezien onze ICT-focus leggen we nadruk op bewezen prestaties in dienstverlening voor overheden/onderwijs met hoge beschikbaarheid, security en multi-site service die randvoorwaardelijk is voor catering/horeca-processen.</w:t>
      </w:r>
    </w:p>
    <w:p>
      <w:pPr>
        <w:numPr>
          <w:ilvl w:val="0"/>
          <w:numId w:val="1"/>
        </w:numPr>
        <w:spacing w:lineRule="auto"/>
      </w:pPr>
      <w:r>
        <w:rPr/>
        <w:t xml:space="preserve">PDCA en SMART: iedere referentie wordt Plan-Do-Check-Act beschreven, met SMART-kwantificering, onafhankelijke bewijsvoering en expliciete risico-mitigaties.</w:t>
      </w:r>
    </w:p>
    <w:p>
      <w:pPr>
        <w:numPr>
          <w:ilvl w:val="0"/>
          <w:numId w:val="1"/>
        </w:numPr>
        <w:spacing w:lineRule="auto"/>
      </w:pPr>
      <w:r>
        <w:rPr/>
        <w:t xml:space="preserve">Kruisverbinding: we hanteren vaste werkpakketten (W-xx) en verbinden elke KPI aan risico’s en bewijsstukken.</w:t>
      </w:r>
    </w:p>
    <w:p>
      <w:pPr>
        <w:spacing w:lineRule="auto"/>
      </w:pPr>
      <w:r>
        <w:rPr/>
        <w:t xml:space="preserve">Uniforme opmaak per referentie Voor iedere referentie leveren we de onderstaande, uniforme set aan gegevens. De mini-tabel per project borgt consistentie en vergelijkbaarheid.</w:t>
      </w:r>
    </w:p>
    <w:p>
      <w:pPr>
        <w:numPr>
          <w:ilvl w:val="0"/>
          <w:numId w:val="2"/>
        </w:numPr>
        <w:spacing w:lineRule="auto"/>
      </w:pPr>
      <w:r>
        <w:rPr/>
        <w:t xml:space="preserve">Kerngegevens referentie</w:t>
      </w:r>
    </w:p>
    <w:p>
      <w:pPr>
        <w:numPr>
          <w:ilvl w:val="0"/>
          <w:numId w:val="3"/>
        </w:numPr>
        <w:spacing w:lineRule="auto"/>
      </w:pPr>
      <w:r>
        <w:rPr/>
        <w:t xml:space="preserve">Opdrachtgever: [organisatienaam en vestigingsplaats]</w:t>
      </w:r>
    </w:p>
    <w:p>
      <w:pPr>
        <w:numPr>
          <w:ilvl w:val="0"/>
          <w:numId w:val="3"/>
        </w:numPr>
        <w:spacing w:lineRule="auto"/>
      </w:pPr>
      <w:r>
        <w:rPr/>
        <w:t xml:space="preserve">Periode: [MM/JJJJ–MM/JJJJ]</w:t>
      </w:r>
    </w:p>
    <w:p>
      <w:pPr>
        <w:numPr>
          <w:ilvl w:val="0"/>
          <w:numId w:val="3"/>
        </w:numPr>
        <w:spacing w:lineRule="auto"/>
      </w:pPr>
      <w:r>
        <w:rPr/>
        <w:t xml:space="preserve">Contractvorm en scope: [raamovereenkomst / beheer / transitie + relevante deelleveringen]</w:t>
      </w:r>
    </w:p>
    <w:p>
      <w:pPr>
        <w:numPr>
          <w:ilvl w:val="0"/>
          <w:numId w:val="3"/>
        </w:numPr>
        <w:spacing w:lineRule="auto"/>
      </w:pPr>
      <w:r>
        <w:rPr/>
        <w:t xml:space="preserve">Reikwijdte: [aantal locaties, gebruikers/werkplekken, kassa-/POS-punten, cloud/on-prem]</w:t>
      </w:r>
    </w:p>
    <w:p>
      <w:pPr>
        <w:numPr>
          <w:ilvl w:val="0"/>
          <w:numId w:val="3"/>
        </w:numPr>
        <w:spacing w:lineRule="auto"/>
      </w:pPr>
      <w:r>
        <w:rPr/>
        <w:t xml:space="preserve">Relevantie voor aanbesteding: [concrete koppeling met horeca-/cateringketen]</w:t>
      </w:r>
    </w:p>
    <w:p>
      <w:pPr>
        <w:numPr>
          <w:ilvl w:val="0"/>
          <w:numId w:val="3"/>
        </w:numPr>
        <w:spacing w:lineRule="auto"/>
      </w:pPr>
      <w:r>
        <w:rPr/>
        <w:t xml:space="preserve">Certificeringen en normen in scope: [ISO 9001, ISO 27001, evt. BIO/ENSIA]</w:t>
      </w:r>
    </w:p>
    <w:p>
      <w:pPr>
        <w:numPr>
          <w:ilvl w:val="0"/>
          <w:numId w:val="3"/>
        </w:numPr>
        <w:spacing w:lineRule="auto"/>
      </w:pPr>
      <w:r>
        <w:rPr/>
        <w:t xml:space="preserve">Contactpersoon opdrachtgever: [naam, functie, e-mail, telefoon], met toestemmingsverklaring.</w:t>
      </w:r>
    </w:p>
    <w:p>
      <w:pPr>
        <w:numPr>
          <w:ilvl w:val="0"/>
          <w:numId w:val="4"/>
        </w:numPr>
        <w:spacing w:lineRule="auto"/>
      </w:pPr>
      <w:r>
        <w:rPr/>
        <w:t xml:space="preserve">Mini-tabel KPI-resultaten en bewijs (per referentie)</w:t>
      </w:r>
      <w:r>
        <w:rPr/>
      </w:r>
    </w:p>
    <w:p>
      <w:pPr>
        <w:numPr>
          <w:ilvl w:val="0"/>
          <w:numId w:val="4"/>
        </w:numPr>
        <w:spacing w:lineRule="auto"/>
      </w:pPr>
      <w:r>
        <w:rPr/>
        <w:t xml:space="preserve">PDCA-samenvatting (per referentie)</w:t>
      </w:r>
    </w:p>
    <w:p>
      <w:pPr>
        <w:numPr>
          <w:ilvl w:val="0"/>
          <w:numId w:val="5"/>
        </w:numPr>
        <w:spacing w:lineRule="auto"/>
      </w:pPr>
      <w:r>
        <w:rPr/>
        <w:t xml:space="preserve">Plan: doelen, scope, acceptatiecriteria, risicoprofiel, meetplan, afhankelijkheden.</w:t>
      </w:r>
    </w:p>
    <w:p>
      <w:pPr>
        <w:numPr>
          <w:ilvl w:val="0"/>
          <w:numId w:val="5"/>
        </w:numPr>
        <w:spacing w:lineRule="auto"/>
      </w:pPr>
      <w:r>
        <w:rPr/>
        <w:t xml:space="preserve">Do: uitrol/transitie, run-fase, change- en releasemanagement, leveranciersregie.</w:t>
      </w:r>
    </w:p>
    <w:p>
      <w:pPr>
        <w:numPr>
          <w:ilvl w:val="0"/>
          <w:numId w:val="5"/>
        </w:numPr>
        <w:spacing w:lineRule="auto"/>
      </w:pPr>
      <w:r>
        <w:rPr/>
        <w:t xml:space="preserve">Check: maandelijkse SLA-rapportage, audits, steekproeven, klanttevredenheid.</w:t>
      </w:r>
    </w:p>
    <w:p>
      <w:pPr>
        <w:numPr>
          <w:ilvl w:val="0"/>
          <w:numId w:val="5"/>
        </w:numPr>
        <w:spacing w:lineRule="auto"/>
      </w:pPr>
      <w:r>
        <w:rPr/>
        <w:t xml:space="preserve">Act: RCA’s, verbetervoorstellen, backlog en implementatie met eigenaar en termijn.</w:t>
      </w:r>
    </w:p>
    <w:p>
      <w:pPr>
        <w:numPr>
          <w:ilvl w:val="0"/>
          <w:numId w:val="6"/>
        </w:numPr>
        <w:spacing w:lineRule="auto"/>
      </w:pPr>
      <w:r>
        <w:rPr/>
        <w:t xml:space="preserve">Risico’s en beheersmaatregelen (per referentie)</w:t>
      </w:r>
    </w:p>
    <w:p>
      <w:pPr>
        <w:numPr>
          <w:ilvl w:val="0"/>
          <w:numId w:val="7"/>
        </w:numPr>
        <w:spacing w:lineRule="auto"/>
      </w:pPr>
      <w:r>
        <w:rPr/>
        <w:t xml:space="preserve">Toprisico’s (max. 5), mitigaties, restrisico, alarmering en lessons learned.</w:t>
      </w:r>
    </w:p>
    <w:p>
      <w:pPr>
        <w:numPr>
          <w:ilvl w:val="0"/>
          <w:numId w:val="7"/>
        </w:numPr>
        <w:spacing w:lineRule="auto"/>
      </w:pPr>
      <w:r>
        <w:rPr/>
        <w:t xml:space="preserve">Escalatiepaden en hersteltijd per prioriteit (P1–P3).</w:t>
      </w:r>
    </w:p>
    <w:p>
      <w:pPr>
        <w:spacing w:lineRule="auto"/>
      </w:pPr>
      <w:r>
        <w:rPr/>
        <w:t xml:space="preserve">Standaard werkpakketten (W-xx) en KPI-koppeling</w:t>
      </w:r>
    </w:p>
    <w:p>
      <w:pPr>
        <w:numPr>
          <w:ilvl w:val="0"/>
          <w:numId w:val="8"/>
        </w:numPr>
        <w:spacing w:lineRule="auto"/>
      </w:pPr>
      <w:r>
        <w:rPr/>
        <w:t xml:space="preserve">W-01 Servicecontinuïteit en beschikbaarheid KPI’s: uptime (%), P1-incidenten (#), MTTR (min), change-succes (%). Risico’s: R-01 Onbeschikbaarheid, R-02 Lange hersteltijd. Bewijs: monitoring-exports, SLA-rapporten, change-logs.</w:t>
      </w:r>
    </w:p>
    <w:p>
      <w:pPr>
        <w:numPr>
          <w:ilvl w:val="0"/>
          <w:numId w:val="8"/>
        </w:numPr>
        <w:spacing w:lineRule="auto"/>
      </w:pPr>
      <w:r>
        <w:rPr/>
        <w:t xml:space="preserve">W-02 Informatiebeveiliging en compliance KPI’s: kritieke kwetsbaarheden open &gt;30 dagen (#=0), auditbevindingen cat. Hoog (#=0), patch compliance (%). Risico’s: R-03 Datalek, R-04 Compliance-afwijking. Bewijs: ISO 27001-certificaat, auditrapport, pentest-samenvatting.</w:t>
      </w:r>
    </w:p>
    <w:p>
      <w:pPr>
        <w:numPr>
          <w:ilvl w:val="0"/>
          <w:numId w:val="8"/>
        </w:numPr>
        <w:spacing w:lineRule="auto"/>
      </w:pPr>
      <w:r>
        <w:rPr/>
        <w:t xml:space="preserve">W-03 Servicedesk en eindgebruikersondersteuning KPI’s: First Call Resolution (%), responstijd P1 (min), doorlooptijd P2 (uur), CSAT (%). Risico’s: R-05 Onvoldoende gebruikersproductiviteit, R-06 Onvoldoende bereikbaarheid. Bewijs: ticketing-exports, CSAT-rapportage.</w:t>
      </w:r>
    </w:p>
    <w:p>
      <w:pPr>
        <w:numPr>
          <w:ilvl w:val="0"/>
          <w:numId w:val="8"/>
        </w:numPr>
        <w:spacing w:lineRule="auto"/>
      </w:pPr>
      <w:r>
        <w:rPr/>
        <w:t xml:space="preserve">W-04 Transitie, adoptie en wijzigingsbeheer KPI’s: transitie op tijd (%), zonder storing bij livegang (%), release back-out rate (%). Risico’s: R-07 Verstoring bij changes, R-08 Onvolledige overdracht. Bewijs: transitieplan, go-live-acceptatie, CAB-notulen.</w:t>
      </w:r>
    </w:p>
    <w:p>
      <w:pPr>
        <w:numPr>
          <w:ilvl w:val="0"/>
          <w:numId w:val="8"/>
        </w:numPr>
        <w:spacing w:lineRule="auto"/>
      </w:pPr>
      <w:r>
        <w:rPr/>
        <w:t xml:space="preserve">W-05 Duurzaamheid en CO2-reductie KPI’s: vermeden ritten (#), CO2-besparing (kg), remote-resolve (%), hardware-hergebruik (#). Risico’s: R-09 Onvoldoende CO2-reductie. Bewijs: rittenregistratie, rapport CO2-voetafdruk, device-lifecycle-overzicht.</w:t>
      </w:r>
    </w:p>
    <w:p>
      <w:pPr>
        <w:numPr>
          <w:ilvl w:val="0"/>
          <w:numId w:val="8"/>
        </w:numPr>
        <w:spacing w:lineRule="auto"/>
      </w:pPr>
      <w:r>
        <w:rPr/>
        <w:t xml:space="preserve">W-06 Keten- en leveranciersregie (POS, reservering, betalingsstromen) KPI’s: ketenbeschikbaarheid (%), leveranciers-OTR/OTD (%), incident doorlooptijd keten (min). Risico’s: R-10 Ketenstilstand door derde, R-11 Contractuele afhankelijkheid. Bewijs: ketenmonitoring, leveranciers-SLA, RFO’s.</w:t>
      </w:r>
    </w:p>
    <w:p>
      <w:pPr>
        <w:spacing w:lineRule="auto"/>
      </w:pPr>
      <w:r>
        <w:rPr/>
        <w:t xml:space="preserve">KPI-definities en meetmethodiek (SMART)</w:t>
      </w:r>
    </w:p>
    <w:p>
      <w:pPr>
        <w:numPr>
          <w:ilvl w:val="0"/>
          <w:numId w:val="9"/>
        </w:numPr>
        <w:spacing w:lineRule="auto"/>
      </w:pPr>
      <w:r>
        <w:rPr/>
        <w:t xml:space="preserve">Uptime (%): beschikbaarheid tijdens servicewindow; gemeten via onafhankelijke monitoring (1-min sample); target b.v. ≥99,9% per maand; uitsluitingen expliciet gedocumenteerd.</w:t>
      </w:r>
    </w:p>
    <w:p>
      <w:pPr>
        <w:numPr>
          <w:ilvl w:val="0"/>
          <w:numId w:val="9"/>
        </w:numPr>
        <w:spacing w:lineRule="auto"/>
      </w:pPr>
      <w:r>
        <w:rPr/>
        <w:t xml:space="preserve">MTTR (min): gemiddelde tijd herstel P1 van detectie tot herstel; streefwaarde conform SLA-prioriteit.</w:t>
      </w:r>
    </w:p>
    <w:p>
      <w:pPr>
        <w:numPr>
          <w:ilvl w:val="0"/>
          <w:numId w:val="9"/>
        </w:numPr>
        <w:spacing w:lineRule="auto"/>
      </w:pPr>
      <w:r>
        <w:rPr/>
        <w:t xml:space="preserve">First Call Resolution (%): tickets opgelost tijdens eerste contact; steekproef op volledige maand; minimaliseer bounce.</w:t>
      </w:r>
    </w:p>
    <w:p>
      <w:pPr>
        <w:numPr>
          <w:ilvl w:val="0"/>
          <w:numId w:val="9"/>
        </w:numPr>
        <w:spacing w:lineRule="auto"/>
      </w:pPr>
      <w:r>
        <w:rPr/>
        <w:t xml:space="preserve">Patch compliance (%): systemen met kritieke updates binnen 14/30 dagen; rapportage vanuit patchmanagement.</w:t>
      </w:r>
    </w:p>
    <w:p>
      <w:pPr>
        <w:numPr>
          <w:ilvl w:val="0"/>
          <w:numId w:val="9"/>
        </w:numPr>
        <w:spacing w:lineRule="auto"/>
      </w:pPr>
      <w:r>
        <w:rPr/>
        <w:t xml:space="preserve">CSAT (%): gewogen gemiddelde score per afgesloten ticket; doel ≥8,0/10.</w:t>
      </w:r>
    </w:p>
    <w:p>
      <w:pPr>
        <w:numPr>
          <w:ilvl w:val="0"/>
          <w:numId w:val="9"/>
        </w:numPr>
        <w:spacing w:lineRule="auto"/>
      </w:pPr>
      <w:r>
        <w:rPr/>
        <w:t xml:space="preserve">CO2-besparing (kg): berekend op vermeden kilometers en virtuele interventies; methodiek conform Logistiek CO2-calculator of GHG Protocol.</w:t>
      </w:r>
    </w:p>
    <w:p>
      <w:pPr>
        <w:spacing w:lineRule="auto"/>
      </w:pPr>
      <w:r>
        <w:rPr/>
        <w:t xml:space="preserve">Risicodomeinen en mitigatie (selectie)</w:t>
      </w:r>
    </w:p>
    <w:p>
      <w:pPr>
        <w:numPr>
          <w:ilvl w:val="0"/>
          <w:numId w:val="10"/>
        </w:numPr>
        <w:spacing w:lineRule="auto"/>
      </w:pPr>
      <w:r>
        <w:rPr/>
        <w:t xml:space="preserve">R-01 Onbeschikbaarheid: redundantie, failover-tests, capaciteitsplanning; Evidentie: testverslagen, monitoringrapporten.</w:t>
      </w:r>
    </w:p>
    <w:p>
      <w:pPr>
        <w:numPr>
          <w:ilvl w:val="0"/>
          <w:numId w:val="10"/>
        </w:numPr>
        <w:spacing w:lineRule="auto"/>
      </w:pPr>
      <w:r>
        <w:rPr/>
        <w:t xml:space="preserve">R-03 Datalek: least privilege, MFA, encryptie, logging; Evidentie: audit-trail, SOC-rapport.</w:t>
      </w:r>
    </w:p>
    <w:p>
      <w:pPr>
        <w:numPr>
          <w:ilvl w:val="0"/>
          <w:numId w:val="10"/>
        </w:numPr>
        <w:spacing w:lineRule="auto"/>
      </w:pPr>
      <w:r>
        <w:rPr/>
        <w:t xml:space="preserve">R-05 Onvoldoende gebruikersproductiviteit: kennisbank, remote tooling; Evidentie: FCR, CSAT trend.</w:t>
      </w:r>
    </w:p>
    <w:p>
      <w:pPr>
        <w:numPr>
          <w:ilvl w:val="0"/>
          <w:numId w:val="10"/>
        </w:numPr>
        <w:spacing w:lineRule="auto"/>
      </w:pPr>
      <w:r>
        <w:rPr/>
        <w:t xml:space="preserve">R-09 Onvoldoende CO2-reductie: remote-first policy, bundeling on-site bezoeken; Evidentie: rittenrapportage.</w:t>
      </w:r>
    </w:p>
    <w:p>
      <w:pPr>
        <w:numPr>
          <w:ilvl w:val="0"/>
          <w:numId w:val="10"/>
        </w:numPr>
        <w:spacing w:lineRule="auto"/>
      </w:pPr>
      <w:r>
        <w:rPr/>
        <w:t xml:space="preserve">R-10 Ketenstilstand door derde: end-to-end runbooks, escrow/contractuele penalties; Evidentie: leveranciers-SLA, keten-RCA.</w:t>
      </w:r>
    </w:p>
    <w:p>
      <w:pPr>
        <w:spacing w:lineRule="auto"/>
      </w:pPr>
      <w:r>
        <w:rPr/>
        <w:t xml:space="preserve">Bewijsvoering per referentie</w:t>
      </w:r>
    </w:p>
    <w:p>
      <w:pPr>
        <w:numPr>
          <w:ilvl w:val="0"/>
          <w:numId w:val="11"/>
        </w:numPr>
        <w:spacing w:lineRule="auto"/>
      </w:pPr>
      <w:r>
        <w:rPr/>
        <w:t xml:space="preserve">Operationeel: SLA-rapportages (PDF/CSV), monitoring-exports, ticket- en change-logs.</w:t>
      </w:r>
    </w:p>
    <w:p>
      <w:pPr>
        <w:numPr>
          <w:ilvl w:val="0"/>
          <w:numId w:val="11"/>
        </w:numPr>
        <w:spacing w:lineRule="auto"/>
      </w:pPr>
      <w:r>
        <w:rPr/>
        <w:t xml:space="preserve">Governance: CAB-notulen, auditrapporten (ISO 27001/9001), ISMS-stukken.</w:t>
      </w:r>
    </w:p>
    <w:p>
      <w:pPr>
        <w:numPr>
          <w:ilvl w:val="0"/>
          <w:numId w:val="11"/>
        </w:numPr>
        <w:spacing w:lineRule="auto"/>
      </w:pPr>
      <w:r>
        <w:rPr/>
        <w:t xml:space="preserve">Klantperceptie: CSAT/NPS-rapporten, referentiebrieven of e-mailbevestigingen.</w:t>
      </w:r>
    </w:p>
    <w:p>
      <w:pPr>
        <w:numPr>
          <w:ilvl w:val="0"/>
          <w:numId w:val="11"/>
        </w:numPr>
        <w:spacing w:lineRule="auto"/>
      </w:pPr>
      <w:r>
        <w:rPr/>
        <w:t xml:space="preserve">Duurzaamheid: CO2-rapportages, rittenregistratie, device-lifecycle overzichten.</w:t>
      </w:r>
    </w:p>
    <w:p>
      <w:pPr>
        <w:numPr>
          <w:ilvl w:val="0"/>
          <w:numId w:val="11"/>
        </w:numPr>
        <w:spacing w:lineRule="auto"/>
      </w:pPr>
      <w:r>
        <w:rPr/>
        <w:t xml:space="preserve">Juridisch: toestemming opdrachtgever voor contact en publicatie van kerncijfers.</w:t>
      </w:r>
    </w:p>
    <w:p>
      <w:pPr>
        <w:spacing w:lineRule="auto"/>
      </w:pPr>
      <w:r>
        <w:rPr/>
        <w:t xml:space="preserve">Voorbeeld invulformaten (te gebruiken bij aanlevering) A. Kerngegevens mini-tabel per project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te vullen waarde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Contractvorm &amp;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Reikwijdte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Relevantie voor aanbesteding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Certificeringen/normen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Contactpersoon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B. KPI mini-tabel per project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Gemeten resultaat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Meetperiode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Bewijsbron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PDCA-borging van referentiegegevens</w:t>
      </w:r>
    </w:p>
    <w:p>
      <w:pPr>
        <w:numPr>
          <w:ilvl w:val="0"/>
          <w:numId w:val="12"/>
        </w:numPr>
        <w:spacing w:lineRule="auto"/>
      </w:pPr>
      <w:r>
        <w:rPr/>
        <w:t xml:space="preserve">Plan: vooraf definiëren van KPI-definities, databronnen, meetfrequentie en evidentiestromen; akkoord opdrachtgever over publiceerbare waarden.</w:t>
      </w:r>
    </w:p>
    <w:p>
      <w:pPr>
        <w:numPr>
          <w:ilvl w:val="0"/>
          <w:numId w:val="12"/>
        </w:numPr>
        <w:spacing w:lineRule="auto"/>
      </w:pPr>
      <w:r>
        <w:rPr/>
        <w:t xml:space="preserve">Do: gecontroleerde export uit bronsystemen (monitoring, ITSM, patching), kwaliteitscontrole op datavelden.</w:t>
      </w:r>
    </w:p>
    <w:p>
      <w:pPr>
        <w:numPr>
          <w:ilvl w:val="0"/>
          <w:numId w:val="12"/>
        </w:numPr>
        <w:spacing w:lineRule="auto"/>
      </w:pPr>
      <w:r>
        <w:rPr/>
        <w:t xml:space="preserve">Check: herberekening steekproef (min. 10%), peer review door kwaliteitsmanager, afstemmen met opdrachtgever.</w:t>
      </w:r>
    </w:p>
    <w:p>
      <w:pPr>
        <w:numPr>
          <w:ilvl w:val="0"/>
          <w:numId w:val="12"/>
        </w:numPr>
        <w:spacing w:lineRule="auto"/>
      </w:pPr>
      <w:r>
        <w:rPr/>
        <w:t xml:space="preserve">Act: eventuele correcties, versiebeheer (vX.Y), en opslag in referentie-archief met bewaartermijn en hergebruikrichtlijnen.</w:t>
      </w:r>
    </w:p>
    <w:p>
      <w:pPr>
        <w:spacing w:lineRule="auto"/>
      </w:pPr>
      <w:r>
        <w:rPr/>
        <w:t xml:space="preserve">Kruisverbindingen W-xx ↔ KPI ↔ Risico ↔ Bewijs (voorbeeldkader)</w:t>
      </w:r>
    </w:p>
    <w:p>
      <w:pPr>
        <w:numPr>
          <w:ilvl w:val="0"/>
          <w:numId w:val="13"/>
        </w:numPr>
        <w:spacing w:lineRule="auto"/>
      </w:pPr>
      <w:r>
        <w:rPr/>
        <w:t xml:space="preserve">W-01 Uptime (%) → R-01 Onbeschikbaarheid → Bewijs: monitoring-exports + SLA-maandrapport.</w:t>
      </w:r>
    </w:p>
    <w:p>
      <w:pPr>
        <w:numPr>
          <w:ilvl w:val="0"/>
          <w:numId w:val="13"/>
        </w:numPr>
        <w:spacing w:lineRule="auto"/>
      </w:pPr>
      <w:r>
        <w:rPr/>
        <w:t xml:space="preserve">W-03 FCR (%) → R-05 Productiviteitsverlies → Bewijs: ITSM-exports, steekproef op call recordings.</w:t>
      </w:r>
    </w:p>
    <w:p>
      <w:pPr>
        <w:numPr>
          <w:ilvl w:val="0"/>
          <w:numId w:val="13"/>
        </w:numPr>
        <w:spacing w:lineRule="auto"/>
      </w:pPr>
      <w:r>
        <w:rPr/>
        <w:t xml:space="preserve">W-02 Kritieke kwetsbaarheden (#=0) → R-03 Datalek → Bewijs: patch compliance rapport, pentest-samenvatting.</w:t>
      </w:r>
    </w:p>
    <w:p>
      <w:pPr>
        <w:numPr>
          <w:ilvl w:val="0"/>
          <w:numId w:val="13"/>
        </w:numPr>
        <w:spacing w:lineRule="auto"/>
      </w:pPr>
      <w:r>
        <w:rPr/>
        <w:t xml:space="preserve">W-06 Ketenbeschikbaarheid (%) → R-10 Ketenstilstand → Bewijs: ketenmonitoring, leveranciers-RFO.</w:t>
      </w:r>
    </w:p>
    <w:p>
      <w:pPr>
        <w:numPr>
          <w:ilvl w:val="0"/>
          <w:numId w:val="13"/>
        </w:numPr>
        <w:spacing w:lineRule="auto"/>
      </w:pPr>
      <w:r>
        <w:rPr/>
        <w:t xml:space="preserve">W-05 CO2-besparing (kg) → R-09 Onvoldoende CO2-reductie → Bewijs: rittenregistratie, footprint-rapport.</w:t>
      </w:r>
    </w:p>
    <w:p>
      <w:pPr>
        <w:spacing w:lineRule="auto"/>
      </w:pPr>
      <w:r>
        <w:rPr/>
        <w:t xml:space="preserve">Richtlijnen voor selectie referenties</w:t>
      </w:r>
    </w:p>
    <w:p>
      <w:pPr>
        <w:numPr>
          <w:ilvl w:val="0"/>
          <w:numId w:val="14"/>
        </w:numPr>
        <w:spacing w:lineRule="auto"/>
      </w:pPr>
      <w:r>
        <w:rPr/>
        <w:t xml:space="preserve">Relevantie: voorkeur overheid/onderwijs met multi-site en kritieke dienstverlening (vergelijkbaar met catering/horeca-ketenafhankelijkheid).</w:t>
      </w:r>
    </w:p>
    <w:p>
      <w:pPr>
        <w:numPr>
          <w:ilvl w:val="0"/>
          <w:numId w:val="14"/>
        </w:numPr>
        <w:spacing w:lineRule="auto"/>
      </w:pPr>
      <w:r>
        <w:rPr/>
        <w:t xml:space="preserve">Actualiteit: bij voorkeur binnen de laatste 5 jaar, met minimaal 6–12 maanden resultaatdata.</w:t>
      </w:r>
    </w:p>
    <w:p>
      <w:pPr>
        <w:numPr>
          <w:ilvl w:val="0"/>
          <w:numId w:val="14"/>
        </w:numPr>
        <w:spacing w:lineRule="auto"/>
      </w:pPr>
      <w:r>
        <w:rPr/>
        <w:t xml:space="preserve">Verifieerbaarheid: schriftelijke toestemming contactpersoon + overdraagbare bewijsstukken.</w:t>
      </w:r>
    </w:p>
    <w:p>
      <w:pPr>
        <w:numPr>
          <w:ilvl w:val="0"/>
          <w:numId w:val="14"/>
        </w:numPr>
        <w:spacing w:lineRule="auto"/>
      </w:pPr>
      <w:r>
        <w:rPr/>
        <w:t xml:space="preserve">Diversiteit: minimaal één referentie met nadruk op ketenregie/leverancierssturing (POS, reservering, betaalplatform) en één met nadruk op duurzaamheid/CO2-reductie.</w:t>
      </w:r>
    </w:p>
    <w:p>
      <w:pPr>
        <w:spacing w:lineRule="auto"/>
      </w:pPr>
      <w:r>
        <w:rPr/>
        <w:t xml:space="preserve">Contact- en privacyafspraken</w:t>
      </w:r>
    </w:p>
    <w:p>
      <w:pPr>
        <w:numPr>
          <w:ilvl w:val="0"/>
          <w:numId w:val="15"/>
        </w:numPr>
        <w:spacing w:lineRule="auto"/>
      </w:pPr>
      <w:r>
        <w:rPr/>
        <w:t xml:space="preserve">Wij leggen vooraf schriftelijk vast dat de aanbestedende dienst de contactpersoon mag benaderen.</w:t>
      </w:r>
    </w:p>
    <w:p>
      <w:pPr>
        <w:numPr>
          <w:ilvl w:val="0"/>
          <w:numId w:val="15"/>
        </w:numPr>
        <w:spacing w:lineRule="auto"/>
      </w:pPr>
      <w:r>
        <w:rPr/>
        <w:t xml:space="preserve">Persoonsgegevens worden uitsluitend gedeeld binnen de aanbestedingscontext en conform ISO 27001.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6"/>
        </w:numPr>
        <w:spacing w:lineRule="auto"/>
      </w:pPr>
      <w:r>
        <w:rPr/>
        <w:t xml:space="preserve">3–5 concrete referentieprojecten (bij voorkeur overheid/onderwijs, NL/EU, laatste 5 jaar) met:</w:t>
      </w:r>
    </w:p>
    <w:p>
      <w:pPr>
        <w:numPr>
          <w:ilvl w:val="1"/>
          <w:numId w:val="17"/>
        </w:numPr>
        <w:spacing w:lineRule="auto"/>
      </w:pPr>
      <w:r>
        <w:rPr/>
        <w:t xml:space="preserve">Opdrachtgever (organisatie + plaats), contractperiode, contractvorm, scope, reikwijdte (locaties/gebruiker-/POS-aantallen).</w:t>
      </w:r>
    </w:p>
    <w:p>
      <w:pPr>
        <w:numPr>
          <w:ilvl w:val="1"/>
          <w:numId w:val="17"/>
        </w:numPr>
        <w:spacing w:lineRule="auto"/>
      </w:pPr>
      <w:r>
        <w:rPr/>
        <w:t xml:space="preserve">Relevantie voor deze aanbesteding (koppeling met catering-/horecaketens of vergelijkbare kritieke dienstverlening).</w:t>
      </w:r>
    </w:p>
    <w:p>
      <w:pPr>
        <w:numPr>
          <w:ilvl w:val="1"/>
          <w:numId w:val="17"/>
        </w:numPr>
        <w:spacing w:lineRule="auto"/>
      </w:pPr>
      <w:r>
        <w:rPr/>
        <w:t xml:space="preserve">KPI-resultaten per referentie inclusief meetperiode en dataprovenance:</w:t>
      </w:r>
    </w:p>
    <w:p>
      <w:pPr>
        <w:numPr>
          <w:ilvl w:val="2"/>
          <w:numId w:val="18"/>
        </w:numPr>
        <w:spacing w:lineRule="auto"/>
      </w:pPr>
      <w:r>
        <w:rPr/>
        <w:t xml:space="preserve">Uptime (%), P1-incidenten (#), MTTR (min), change-succes (%).</w:t>
      </w:r>
    </w:p>
    <w:p>
      <w:pPr>
        <w:numPr>
          <w:ilvl w:val="2"/>
          <w:numId w:val="18"/>
        </w:numPr>
        <w:spacing w:lineRule="auto"/>
      </w:pPr>
      <w:r>
        <w:rPr/>
        <w:t xml:space="preserve">FCR (%), responstijd P1 (min), doorlooptijd P2 (uur), CSAT (%).</w:t>
      </w:r>
    </w:p>
    <w:p>
      <w:pPr>
        <w:numPr>
          <w:ilvl w:val="2"/>
          <w:numId w:val="18"/>
        </w:numPr>
        <w:spacing w:lineRule="auto"/>
      </w:pPr>
      <w:r>
        <w:rPr/>
        <w:t xml:space="preserve">Kritieke kwetsbaarheden open &gt;30 dagen (#), patch compliance (%), auditbevindingen hoog (#).</w:t>
      </w:r>
    </w:p>
    <w:p>
      <w:pPr>
        <w:numPr>
          <w:ilvl w:val="2"/>
          <w:numId w:val="18"/>
        </w:numPr>
        <w:spacing w:lineRule="auto"/>
      </w:pPr>
      <w:r>
        <w:rPr/>
        <w:t xml:space="preserve">Ketenbeschikbaarheid (%), leveranciers-OTR/OTD (%), keten-incident doorlooptijd (min).</w:t>
      </w:r>
    </w:p>
    <w:p>
      <w:pPr>
        <w:numPr>
          <w:ilvl w:val="2"/>
          <w:numId w:val="18"/>
        </w:numPr>
        <w:spacing w:lineRule="auto"/>
      </w:pPr>
      <w:r>
        <w:rPr/>
        <w:t xml:space="preserve">CO2-besparing (kg), remote-resolve (%), vermeden ritten (#), hardware-hergebruik (#).</w:t>
      </w:r>
    </w:p>
    <w:p>
      <w:pPr>
        <w:numPr>
          <w:ilvl w:val="1"/>
          <w:numId w:val="17"/>
        </w:numPr>
        <w:spacing w:lineRule="auto"/>
      </w:pPr>
      <w:r>
        <w:rPr/>
        <w:t xml:space="preserve">Bewijsstukken per KPI (minimaal één per KPI): SLA-rapportages, monitoring-exports, ITSM-CSV, audit-/pentest-uittreksel, CSAT-rapport, CO2-rapport/rittenlog, referentiebrief of e-mailbevestiging.</w:t>
      </w:r>
    </w:p>
    <w:p>
      <w:pPr>
        <w:numPr>
          <w:ilvl w:val="1"/>
          <w:numId w:val="17"/>
        </w:numPr>
        <w:spacing w:lineRule="auto"/>
      </w:pPr>
      <w:r>
        <w:rPr/>
        <w:t xml:space="preserve">Top 3 risico’s per referentie en bijbehorende mitigaties (incl. welke W-xx betroffen).</w:t>
      </w:r>
    </w:p>
    <w:p>
      <w:pPr>
        <w:numPr>
          <w:ilvl w:val="1"/>
          <w:numId w:val="17"/>
        </w:numPr>
        <w:spacing w:lineRule="auto"/>
      </w:pPr>
      <w:r>
        <w:rPr/>
        <w:t xml:space="preserve">Contactpersoon per opdrachtgever (naam, functie, e-mail, telefoon) + expliciete toestemming om te worden benaderd.</w:t>
      </w:r>
    </w:p>
    <w:p>
      <w:pPr>
        <w:numPr>
          <w:ilvl w:val="1"/>
          <w:numId w:val="17"/>
        </w:numPr>
        <w:spacing w:lineRule="auto"/>
      </w:pPr>
      <w:r>
        <w:rPr/>
        <w:t xml:space="preserve">Eventuele NDA-beperkingen en instructies voor anonimisering/redactie.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