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README — Lees Mij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11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README — Raamovereenkomst Catering- en Horecadiensten voor Gemeente Middenstad</w:t>
      </w:r>
    </w:p>
    <w:p>
      <w:pPr>
        <w:spacing w:lineRule="auto"/>
      </w:pPr>
      <w:r>
        <w:rPr/>
        <w:t xml:space="preserve">Doel</w:t>
      </w:r>
    </w:p>
    <w:p>
      <w:pPr>
        <w:numPr>
          <w:ilvl w:val="0"/>
          <w:numId w:val="1"/>
        </w:numPr>
        <w:spacing w:lineRule="auto"/>
      </w:pPr>
      <w:r>
        <w:rPr/>
        <w:t xml:space="preserve">Deze README geeft snel inzicht in doel, inhoud, structuur en leesvolgorde van het aanbestedingspakket.</w:t>
      </w:r>
    </w:p>
    <w:p>
      <w:pPr>
        <w:numPr>
          <w:ilvl w:val="0"/>
          <w:numId w:val="1"/>
        </w:numPr>
        <w:spacing w:lineRule="auto"/>
      </w:pPr>
      <w:r>
        <w:rPr/>
        <w:t xml:space="preserve">Sturing op PDCA, SMART-KPI’s en expliete kruisverbanden tussen werkpakketten, KPI’s, risico’s en bewijs.</w:t>
      </w:r>
    </w:p>
    <w:p>
      <w:pPr>
        <w:numPr>
          <w:ilvl w:val="0"/>
          <w:numId w:val="1"/>
        </w:numPr>
        <w:spacing w:lineRule="auto"/>
      </w:pPr>
      <w:r>
        <w:rPr/>
        <w:t xml:space="preserve">Ondersteunt EMVI-beoordeling: verwijst per onderdeel naar waar Kwaliteit, Duurzaamheid, Risicobeheersing en Prijs worden behandeld.</w:t>
      </w:r>
    </w:p>
    <w:p>
      <w:pPr>
        <w:spacing w:lineRule="auto"/>
      </w:pPr>
      <w:r>
        <w:rPr/>
        <w:t xml:space="preserve">Context</w:t>
      </w:r>
    </w:p>
    <w:p>
      <w:pPr>
        <w:numPr>
          <w:ilvl w:val="0"/>
          <w:numId w:val="2"/>
        </w:numPr>
        <w:spacing w:lineRule="auto"/>
      </w:pPr>
      <w:r>
        <w:rPr/>
        <w:t xml:space="preserve">Aanbesteding: Raamovereenkomst Catering- en Horecadiensten voor Gemeente Middenstad.</w:t>
      </w:r>
    </w:p>
    <w:p>
      <w:pPr>
        <w:numPr>
          <w:ilvl w:val="0"/>
          <w:numId w:val="2"/>
        </w:numPr>
        <w:spacing w:lineRule="auto"/>
      </w:pPr>
      <w:r>
        <w:rPr/>
        <w:t xml:space="preserve">Aanbestedende dienst: NVAO. Contracttype: raamovereenkomst. Sector: ICT (leverancier: Uno Automatiseringsdiensten B.V.).</w:t>
      </w:r>
    </w:p>
    <w:p>
      <w:pPr>
        <w:numPr>
          <w:ilvl w:val="0"/>
          <w:numId w:val="2"/>
        </w:numPr>
        <w:spacing w:lineRule="auto"/>
      </w:pPr>
      <w:r>
        <w:rPr/>
        <w:t xml:space="preserve">Gunningsmethode EMVI met weging: Kwaliteit 40%, Duurzaamheid 20%, Risicobeheersing 20%, Prijs 20%.</w:t>
      </w:r>
    </w:p>
    <w:p>
      <w:pPr>
        <w:spacing w:lineRule="auto"/>
      </w:pPr>
      <w:r>
        <w:rPr/>
        <w:t xml:space="preserve">Inhoud meegeleverde documenten</w:t>
      </w:r>
    </w:p>
    <w:p>
      <w:pPr>
        <w:numPr>
          <w:ilvl w:val="0"/>
          <w:numId w:val="3"/>
        </w:numPr>
        <w:spacing w:lineRule="auto"/>
      </w:pPr>
      <w:r>
        <w:rPr/>
        <w:t xml:space="preserve">README (dit document): handleiding en navigatie.</w:t>
      </w:r>
    </w:p>
    <w:p>
      <w:pPr>
        <w:numPr>
          <w:ilvl w:val="0"/>
          <w:numId w:val="3"/>
        </w:numPr>
        <w:spacing w:lineRule="auto"/>
      </w:pPr>
      <w:r>
        <w:rPr/>
        <w:t xml:space="preserve">Plan van Aanpak (PvA): aanpak, planning, werkpakketten (W-xx), rollen, PDCA-inrichting en exploitatieprocessen.</w:t>
      </w:r>
    </w:p>
    <w:p>
      <w:pPr>
        <w:numPr>
          <w:ilvl w:val="0"/>
          <w:numId w:val="3"/>
        </w:numPr>
        <w:spacing w:lineRule="auto"/>
      </w:pPr>
      <w:r>
        <w:rPr/>
        <w:t xml:space="preserve">Risicodossier: risico-identificatie (R-xx), analyse, beheersmaatregelen, responsplannen en rest-risico’s.</w:t>
      </w:r>
    </w:p>
    <w:p>
      <w:pPr>
        <w:numPr>
          <w:ilvl w:val="0"/>
          <w:numId w:val="3"/>
        </w:numPr>
        <w:spacing w:lineRule="auto"/>
      </w:pPr>
      <w:r>
        <w:rPr/>
        <w:t xml:space="preserve">KPI-overzicht: KPI-definities (K-xx), targets, meetmethode, frequentie, rapportage en escalaties.</w:t>
      </w:r>
    </w:p>
    <w:p>
      <w:pPr>
        <w:spacing w:lineRule="auto"/>
      </w:pPr>
      <w:r>
        <w:rPr/>
        <w:t xml:space="preserve">Structuur en codering (uniform in alle documenten)</w:t>
      </w:r>
    </w:p>
    <w:p>
      <w:pPr>
        <w:numPr>
          <w:ilvl w:val="0"/>
          <w:numId w:val="4"/>
        </w:numPr>
        <w:spacing w:lineRule="auto"/>
      </w:pPr>
      <w:r>
        <w:rPr/>
        <w:t xml:space="preserve">Werkpakketten (W-xx):</w:t>
      </w:r>
    </w:p>
    <w:p>
      <w:pPr>
        <w:numPr>
          <w:ilvl w:val="1"/>
          <w:numId w:val="5"/>
        </w:numPr>
        <w:spacing w:lineRule="auto"/>
      </w:pPr>
      <w:r>
        <w:rPr/>
        <w:t xml:space="preserve">W-01 Opstart en transitie (intake, nulmeting, overdracht).</w:t>
      </w:r>
    </w:p>
    <w:p>
      <w:pPr>
        <w:numPr>
          <w:ilvl w:val="1"/>
          <w:numId w:val="5"/>
        </w:numPr>
        <w:spacing w:lineRule="auto"/>
      </w:pPr>
      <w:r>
        <w:rPr/>
        <w:t xml:space="preserve">W-02 Operationele dienstverlening (dagelijkse catering, banqueting, vending).</w:t>
      </w:r>
    </w:p>
    <w:p>
      <w:pPr>
        <w:numPr>
          <w:ilvl w:val="1"/>
          <w:numId w:val="5"/>
        </w:numPr>
        <w:spacing w:lineRule="auto"/>
      </w:pPr>
      <w:r>
        <w:rPr/>
        <w:t xml:space="preserve">W-03 Kwaliteit, duurzaamheid en compliance (audits, MVI, voedselveiligheid).</w:t>
      </w:r>
    </w:p>
    <w:p>
      <w:pPr>
        <w:numPr>
          <w:ilvl w:val="1"/>
          <w:numId w:val="5"/>
        </w:numPr>
        <w:spacing w:lineRule="auto"/>
      </w:pPr>
      <w:r>
        <w:rPr/>
        <w:t xml:space="preserve">W-04 Continuïteit en exit (BCP, piekbelasting, exit-plan).</w:t>
      </w:r>
    </w:p>
    <w:p>
      <w:pPr>
        <w:numPr>
          <w:ilvl w:val="0"/>
          <w:numId w:val="4"/>
        </w:numPr>
        <w:spacing w:lineRule="auto"/>
      </w:pPr>
      <w:r>
        <w:rPr/>
        <w:t xml:space="preserve">KPI’s (K-xx) — SMART en meetbaar:</w:t>
      </w:r>
    </w:p>
    <w:p>
      <w:pPr>
        <w:numPr>
          <w:ilvl w:val="1"/>
          <w:numId w:val="6"/>
        </w:numPr>
        <w:spacing w:lineRule="auto"/>
      </w:pPr>
      <w:r>
        <w:rPr/>
        <w:t xml:space="preserve">K-01 Klanttevredenheidsscore (≥8,0; kwartaal; survey).</w:t>
      </w:r>
    </w:p>
    <w:p>
      <w:pPr>
        <w:numPr>
          <w:ilvl w:val="1"/>
          <w:numId w:val="6"/>
        </w:numPr>
        <w:spacing w:lineRule="auto"/>
      </w:pPr>
      <w:r>
        <w:rPr/>
        <w:t xml:space="preserve">K-02 Beschikbaarheid uitgiftetijden (≥99,0%; maandelijks; logregistratie).</w:t>
      </w:r>
    </w:p>
    <w:p>
      <w:pPr>
        <w:numPr>
          <w:ilvl w:val="1"/>
          <w:numId w:val="6"/>
        </w:numPr>
        <w:spacing w:lineRule="auto"/>
      </w:pPr>
      <w:r>
        <w:rPr/>
        <w:t xml:space="preserve">K-03 Doorlooptijd klachten (95% &lt; 5 werkdagen; maandelijks; ticketsysteem).</w:t>
      </w:r>
    </w:p>
    <w:p>
      <w:pPr>
        <w:numPr>
          <w:ilvl w:val="1"/>
          <w:numId w:val="6"/>
        </w:numPr>
        <w:spacing w:lineRule="auto"/>
      </w:pPr>
      <w:r>
        <w:rPr/>
        <w:t xml:space="preserve">K-04 Reductie voedselverspilling (−20% in 12 mnd; maandelijks; weegregistratie).</w:t>
      </w:r>
    </w:p>
    <w:p>
      <w:pPr>
        <w:numPr>
          <w:ilvl w:val="1"/>
          <w:numId w:val="6"/>
        </w:numPr>
        <w:spacing w:lineRule="auto"/>
      </w:pPr>
      <w:r>
        <w:rPr/>
        <w:t xml:space="preserve">K-05 Auditconformiteit proces (≥95% findings resolved binnen 30 dgn).</w:t>
      </w:r>
    </w:p>
    <w:p>
      <w:pPr>
        <w:numPr>
          <w:ilvl w:val="1"/>
          <w:numId w:val="6"/>
        </w:numPr>
        <w:spacing w:lineRule="auto"/>
      </w:pPr>
      <w:r>
        <w:rPr/>
        <w:t xml:space="preserve">K-06 MVI-inkoop aandeel (≥60% duurzaam gecertificeerd assortiment; kwartaal).</w:t>
      </w:r>
    </w:p>
    <w:p>
      <w:pPr>
        <w:numPr>
          <w:ilvl w:val="0"/>
          <w:numId w:val="4"/>
        </w:numPr>
        <w:spacing w:lineRule="auto"/>
      </w:pPr>
      <w:r>
        <w:rPr/>
        <w:t xml:space="preserve">Risico’s (R-xx):</w:t>
      </w:r>
    </w:p>
    <w:p>
      <w:pPr>
        <w:numPr>
          <w:ilvl w:val="1"/>
          <w:numId w:val="7"/>
        </w:numPr>
        <w:spacing w:lineRule="auto"/>
      </w:pPr>
      <w:r>
        <w:rPr/>
        <w:t xml:space="preserve">R-01 Personeelskrapte; R-02 Voedselveiligheid; R-03 Leveringsketen; R-04 Piekbelasting/evenementen; R-05 Kassa-/IT-storing.</w:t>
      </w:r>
    </w:p>
    <w:p>
      <w:pPr>
        <w:numPr>
          <w:ilvl w:val="0"/>
          <w:numId w:val="4"/>
        </w:numPr>
        <w:spacing w:lineRule="auto"/>
      </w:pPr>
      <w:r>
        <w:rPr/>
        <w:t xml:space="preserve">Bewijs (B-xx):</w:t>
      </w:r>
    </w:p>
    <w:p>
      <w:pPr>
        <w:numPr>
          <w:ilvl w:val="1"/>
          <w:numId w:val="8"/>
        </w:numPr>
        <w:spacing w:lineRule="auto"/>
      </w:pPr>
      <w:r>
        <w:rPr/>
        <w:t xml:space="preserve">B-01 ISO 9001 certificaat (kwaliteitssysteem).</w:t>
      </w:r>
    </w:p>
    <w:p>
      <w:pPr>
        <w:numPr>
          <w:ilvl w:val="1"/>
          <w:numId w:val="8"/>
        </w:numPr>
        <w:spacing w:lineRule="auto"/>
      </w:pPr>
      <w:r>
        <w:rPr/>
        <w:t xml:space="preserve">B-02 ISO 27001 certificaat (informatiebeveiliging voor kassa/gegevensstromen).</w:t>
      </w:r>
    </w:p>
    <w:p>
      <w:pPr>
        <w:spacing w:lineRule="auto"/>
      </w:pPr>
      <w:r>
        <w:rPr/>
        <w:t xml:space="preserve">Kruisverbanden (W-xx ↔ KPI ↔ Risico ↔ Bewijs)</w:t>
      </w:r>
    </w:p>
    <w:p>
      <w:pPr>
        <w:numPr>
          <w:ilvl w:val="0"/>
          <w:numId w:val="9"/>
        </w:numPr>
        <w:spacing w:lineRule="auto"/>
      </w:pPr>
      <w:r>
        <w:rPr/>
        <w:t xml:space="preserve">W-01 ↔ K-01, K-05 ↔ R-03 ↔ B-01.</w:t>
      </w:r>
    </w:p>
    <w:p>
      <w:pPr>
        <w:numPr>
          <w:ilvl w:val="0"/>
          <w:numId w:val="9"/>
        </w:numPr>
        <w:spacing w:lineRule="auto"/>
      </w:pPr>
      <w:r>
        <w:rPr/>
        <w:t xml:space="preserve">W-02 ↔ K-02, K-03 ↔ R-01, R-02 ↔ B-01.</w:t>
      </w:r>
    </w:p>
    <w:p>
      <w:pPr>
        <w:numPr>
          <w:ilvl w:val="0"/>
          <w:numId w:val="9"/>
        </w:numPr>
        <w:spacing w:lineRule="auto"/>
      </w:pPr>
      <w:r>
        <w:rPr/>
        <w:t xml:space="preserve">W-03 ↔ K-04, K-06, K-05 ↔ R-02, R-03 ↔ B-01, B-02.</w:t>
      </w:r>
    </w:p>
    <w:p>
      <w:pPr>
        <w:numPr>
          <w:ilvl w:val="0"/>
          <w:numId w:val="9"/>
        </w:numPr>
        <w:spacing w:lineRule="auto"/>
      </w:pPr>
      <w:r>
        <w:rPr/>
        <w:t xml:space="preserve">W-04 ↔ K-02, K-05 ↔ R-04, R-05 ↔ B-02.</w:t>
      </w:r>
    </w:p>
    <w:p>
      <w:pPr>
        <w:spacing w:lineRule="auto"/>
      </w:pPr>
      <w:r>
        <w:rPr/>
        <w:t xml:space="preserve">PDCA-toepassing</w:t>
      </w:r>
    </w:p>
    <w:p>
      <w:pPr>
        <w:numPr>
          <w:ilvl w:val="0"/>
          <w:numId w:val="10"/>
        </w:numPr>
        <w:spacing w:lineRule="auto"/>
      </w:pPr>
      <w:r>
        <w:rPr/>
        <w:t xml:space="preserve">Plan: PvA W-01 definieert scope, nulmeting en KPI-targets met meetplan.</w:t>
      </w:r>
    </w:p>
    <w:p>
      <w:pPr>
        <w:numPr>
          <w:ilvl w:val="0"/>
          <w:numId w:val="10"/>
        </w:numPr>
        <w:spacing w:lineRule="auto"/>
      </w:pPr>
      <w:r>
        <w:rPr/>
        <w:t xml:space="preserve">Do: PvA W-02 operationaliseert processen, rollen en instructies.</w:t>
      </w:r>
    </w:p>
    <w:p>
      <w:pPr>
        <w:numPr>
          <w:ilvl w:val="0"/>
          <w:numId w:val="10"/>
        </w:numPr>
        <w:spacing w:lineRule="auto"/>
      </w:pPr>
      <w:r>
        <w:rPr/>
        <w:t xml:space="preserve">Check: KPI-overzicht borgt metingen, frequenties en rapportagelijnen; interne audits (K-05).</w:t>
      </w:r>
    </w:p>
    <w:p>
      <w:pPr>
        <w:numPr>
          <w:ilvl w:val="0"/>
          <w:numId w:val="10"/>
        </w:numPr>
        <w:spacing w:lineRule="auto"/>
      </w:pPr>
      <w:r>
        <w:rPr/>
        <w:t xml:space="preserve">Act: Risicodossier en PvA evalueren maandelijks en per kwartaal; afwijkingen leiden tot corrigerende en preventieve maatregelen met eigenaar en termijn.</w:t>
      </w:r>
    </w:p>
    <w:p>
      <w:pPr>
        <w:spacing w:lineRule="auto"/>
      </w:pPr>
      <w:r>
        <w:rPr/>
        <w:t xml:space="preserve">Hoe te lezen</w:t>
      </w:r>
    </w:p>
    <w:p>
      <w:pPr>
        <w:numPr>
          <w:ilvl w:val="0"/>
          <w:numId w:val="11"/>
        </w:numPr>
        <w:spacing w:lineRule="auto"/>
      </w:pPr>
      <w:r>
        <w:rPr/>
        <w:t xml:space="preserve">Stap 1: Lees deze README voor context, codering en EMVI-koppeling.</w:t>
      </w:r>
    </w:p>
    <w:p>
      <w:pPr>
        <w:numPr>
          <w:ilvl w:val="0"/>
          <w:numId w:val="11"/>
        </w:numPr>
        <w:spacing w:lineRule="auto"/>
      </w:pPr>
      <w:r>
        <w:rPr/>
        <w:t xml:space="preserve">Stap 2: Plan van Aanpak voor aanpak per W-xx en PDCA-inrichting.</w:t>
      </w:r>
    </w:p>
    <w:p>
      <w:pPr>
        <w:numPr>
          <w:ilvl w:val="0"/>
          <w:numId w:val="11"/>
        </w:numPr>
        <w:spacing w:lineRule="auto"/>
      </w:pPr>
      <w:r>
        <w:rPr/>
        <w:t xml:space="preserve">Stap 3: KPI-overzicht voor meetdefinities, targets, rapportage en escalaties.</w:t>
      </w:r>
    </w:p>
    <w:p>
      <w:pPr>
        <w:numPr>
          <w:ilvl w:val="0"/>
          <w:numId w:val="11"/>
        </w:numPr>
        <w:spacing w:lineRule="auto"/>
      </w:pPr>
      <w:r>
        <w:rPr/>
        <w:t xml:space="preserve">Stap 4: Risicodossier voor beheersmaatregelen en rest-risico’s per R-xx.</w:t>
      </w:r>
    </w:p>
    <w:p>
      <w:pPr>
        <w:numPr>
          <w:ilvl w:val="0"/>
          <w:numId w:val="11"/>
        </w:numPr>
        <w:spacing w:lineRule="auto"/>
      </w:pPr>
      <w:r>
        <w:rPr/>
        <w:t xml:space="preserve">Gebruik de codes W-/K-/R-/B- om snel kruisverwijzingen te volgen in alle documenten.</w:t>
      </w:r>
    </w:p>
    <w:p>
      <w:pPr>
        <w:spacing w:lineRule="auto"/>
      </w:pPr>
      <w:r>
        <w:rPr/>
        <w:t xml:space="preserve">EMVI-dekking (waar te vinden)</w:t>
      </w:r>
    </w:p>
    <w:p>
      <w:pPr>
        <w:numPr>
          <w:ilvl w:val="0"/>
          <w:numId w:val="12"/>
        </w:numPr>
        <w:spacing w:lineRule="auto"/>
      </w:pPr>
      <w:r>
        <w:rPr/>
        <w:t xml:space="preserve">Kwaliteit (40%): PvA W-01 t/m W-03; KPI’s K-01, K-02, K-03, K-05.</w:t>
      </w:r>
    </w:p>
    <w:p>
      <w:pPr>
        <w:numPr>
          <w:ilvl w:val="0"/>
          <w:numId w:val="12"/>
        </w:numPr>
        <w:spacing w:lineRule="auto"/>
      </w:pPr>
      <w:r>
        <w:rPr/>
        <w:t xml:space="preserve">Duurzaamheid (20%): PvA W-03; KPI’s K-04, K-06.</w:t>
      </w:r>
    </w:p>
    <w:p>
      <w:pPr>
        <w:numPr>
          <w:ilvl w:val="0"/>
          <w:numId w:val="12"/>
        </w:numPr>
        <w:spacing w:lineRule="auto"/>
      </w:pPr>
      <w:r>
        <w:rPr/>
        <w:t xml:space="preserve">Risicobeheersing (20%): Risicodossier R-01 t/m R-05 met maatregelen en triggers.</w:t>
      </w:r>
    </w:p>
    <w:p>
      <w:pPr>
        <w:numPr>
          <w:ilvl w:val="0"/>
          <w:numId w:val="12"/>
        </w:numPr>
        <w:spacing w:lineRule="auto"/>
      </w:pPr>
      <w:r>
        <w:rPr/>
        <w:t xml:space="preserve">Prijs (20%): separaat prijsblad conform aanbesteding (niet onderdeel van deze README).</w:t>
      </w:r>
    </w:p>
    <w:p>
      <w:pPr>
        <w:spacing w:lineRule="auto"/>
      </w:pPr>
      <w:r>
        <w:rPr/>
        <w:t xml:space="preserve">Randvoorwaarden en aannames</w:t>
      </w:r>
    </w:p>
    <w:p>
      <w:pPr>
        <w:numPr>
          <w:ilvl w:val="0"/>
          <w:numId w:val="13"/>
        </w:numPr>
        <w:spacing w:lineRule="auto"/>
      </w:pPr>
      <w:r>
        <w:rPr/>
        <w:t xml:space="preserve">Garantie: 12 maanden op geleverde processen en rapportage-inrichting.</w:t>
      </w:r>
    </w:p>
    <w:p>
      <w:pPr>
        <w:numPr>
          <w:ilvl w:val="0"/>
          <w:numId w:val="13"/>
        </w:numPr>
        <w:spacing w:lineRule="auto"/>
      </w:pPr>
      <w:r>
        <w:rPr/>
        <w:t xml:space="preserve">Prijsafspraken: pricing locked conform Assumptions Policy.</w:t>
      </w:r>
    </w:p>
    <w:p>
      <w:pPr>
        <w:numPr>
          <w:ilvl w:val="0"/>
          <w:numId w:val="13"/>
        </w:numPr>
        <w:spacing w:lineRule="auto"/>
      </w:pPr>
      <w:r>
        <w:rPr/>
        <w:t xml:space="preserve">Data &amp; privacy: borging via ISO 27001 (B-02) voor kassasystemen/rapportages.</w:t>
      </w:r>
    </w:p>
    <w:p>
      <w:pPr>
        <w:spacing w:lineRule="auto"/>
      </w:pPr>
      <w:r>
        <w:rPr/>
        <w:t xml:space="preserve">Controlelijst voor beoordelaars</w:t>
      </w:r>
    </w:p>
    <w:p>
      <w:pPr>
        <w:numPr>
          <w:ilvl w:val="0"/>
          <w:numId w:val="14"/>
        </w:numPr>
        <w:spacing w:lineRule="auto"/>
      </w:pPr>
      <w:r>
        <w:rPr/>
        <w:t xml:space="preserve">Zijn alle KPIs SMART en gekoppeld aan W-xx en R-xx?</w:t>
      </w:r>
    </w:p>
    <w:p>
      <w:pPr>
        <w:numPr>
          <w:ilvl w:val="0"/>
          <w:numId w:val="14"/>
        </w:numPr>
        <w:spacing w:lineRule="auto"/>
      </w:pPr>
      <w:r>
        <w:rPr/>
        <w:t xml:space="preserve">Is de PDCA-cyclus aantoonbaar ingevoerd per werkpakket?</w:t>
      </w:r>
    </w:p>
    <w:p>
      <w:pPr>
        <w:numPr>
          <w:ilvl w:val="0"/>
          <w:numId w:val="14"/>
        </w:numPr>
        <w:spacing w:lineRule="auto"/>
      </w:pPr>
      <w:r>
        <w:rPr/>
        <w:t xml:space="preserve">Is bewijs B-01/B-02 traceerbaar bij relevante processen?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15"/>
        </w:numPr>
        <w:spacing w:lineRule="auto"/>
      </w:pPr>
      <w:r>
        <w:rPr/>
        <w:t xml:space="preserve">Inschrijftermijn en uitvoeringstermijn/venster.</w:t>
      </w:r>
    </w:p>
    <w:p>
      <w:pPr>
        <w:numPr>
          <w:ilvl w:val="0"/>
          <w:numId w:val="15"/>
        </w:numPr>
        <w:spacing w:lineRule="auto"/>
      </w:pPr>
      <w:r>
        <w:rPr/>
        <w:t xml:space="preserve">Locaties, volumes en openingsuren per locatie.</w:t>
      </w:r>
    </w:p>
    <w:p>
      <w:pPr>
        <w:numPr>
          <w:ilvl w:val="0"/>
          <w:numId w:val="15"/>
        </w:numPr>
        <w:spacing w:lineRule="auto"/>
      </w:pPr>
      <w:r>
        <w:rPr/>
        <w:t xml:space="preserve">Specifieke SLA’s en rapportageformat/frequentie van opdrachtgever.</w:t>
      </w:r>
    </w:p>
    <w:p>
      <w:pPr>
        <w:numPr>
          <w:ilvl w:val="0"/>
          <w:numId w:val="15"/>
        </w:numPr>
        <w:spacing w:lineRule="auto"/>
      </w:pPr>
      <w:r>
        <w:rPr/>
        <w:t xml:space="preserve">Voedselveiligheidseisen (HACCP-specificaties) en auditregime.</w:t>
      </w:r>
    </w:p>
    <w:p>
      <w:pPr>
        <w:numPr>
          <w:ilvl w:val="0"/>
          <w:numId w:val="15"/>
        </w:numPr>
        <w:spacing w:lineRule="auto"/>
      </w:pPr>
      <w:r>
        <w:rPr/>
        <w:t xml:space="preserve">Doelstellingen duurzaamheid/MVI (normpercentages, keurmerken).</w:t>
      </w:r>
    </w:p>
    <w:p>
      <w:pPr>
        <w:numPr>
          <w:ilvl w:val="0"/>
          <w:numId w:val="15"/>
        </w:numPr>
        <w:spacing w:lineRule="auto"/>
      </w:pPr>
      <w:r>
        <w:rPr/>
        <w:t xml:space="preserve">Evenementenkalender en piekbelasting-verwachtingen.</w:t>
      </w:r>
    </w:p>
    <w:p>
      <w:pPr>
        <w:numPr>
          <w:ilvl w:val="0"/>
          <w:numId w:val="15"/>
        </w:numPr>
        <w:spacing w:lineRule="auto"/>
      </w:pPr>
      <w:r>
        <w:rPr/>
        <w:t xml:space="preserve">Toegangs- en security-eisen locaties (incl. kassa-/netwerkeisen).</w:t>
      </w:r>
    </w:p>
    <w:p>
      <w:pPr>
        <w:numPr>
          <w:ilvl w:val="0"/>
          <w:numId w:val="15"/>
        </w:numPr>
        <w:spacing w:lineRule="auto"/>
      </w:pPr>
      <w:r>
        <w:rPr/>
        <w:t xml:space="preserve">Contractovername/HR-kaders en leveranciersrestricties.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 — Lees Mij</dc:title>
  <dc:subject/>
  <dc:creator>html-to-docx</dc:creator>
  <cp:keywords>html-to-docx</cp:keywords>
  <dc:description/>
  <cp:lastModifiedBy>html-to-docx</cp:lastModifiedBy>
  <cp:revision>1</cp:revision>
  <dcterms:created xsi:type="dcterms:W3CDTF">2025-11-11T22:30:24.486Z</dcterms:created>
  <dcterms:modified xsi:type="dcterms:W3CDTF">2025-11-11T22:30:24.486Z</dcterms:modified>
</cp:coreProperties>
</file>