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Risico’s – Raamovereenkomst Catering- en Horecadiensten Gemeente Middenstad</w:t>
      </w:r>
    </w:p>
    <w:p>
      <w:pPr>
        <w:spacing w:lineRule="auto"/>
      </w:pPr>
      <w:r>
        <w:rPr/>
        <w:t xml:space="preserve">Toelichting methode</w:t>
      </w:r>
    </w:p>
    <w:p>
      <w:pPr>
        <w:numPr>
          <w:ilvl w:val="0"/>
          <w:numId w:val="1"/>
        </w:numPr>
        <w:spacing w:lineRule="auto"/>
      </w:pPr>
      <w:r>
        <w:rPr/>
        <w:t xml:space="preserve">Risicoscore: Kans (1=zeer laag, 5=zeer hoog) x Impact (1=beperkt, 5=kritiek) = Score (1–25). Prioriteit bij score ≥12.</w:t>
      </w:r>
    </w:p>
    <w:p>
      <w:pPr>
        <w:numPr>
          <w:ilvl w:val="0"/>
          <w:numId w:val="1"/>
        </w:numPr>
        <w:spacing w:lineRule="auto"/>
      </w:pPr>
      <w:r>
        <w:rPr/>
        <w:t xml:space="preserve">Maatregelen zijn SMART en PDCA-gebaseerd. Check-leveringen worden als bewijs vastgelegd (auditrapporten, logboeken, monitoringsdata, registraties).</w:t>
      </w:r>
    </w:p>
    <w:p>
      <w:pPr>
        <w:numPr>
          <w:ilvl w:val="0"/>
          <w:numId w:val="1"/>
        </w:numPr>
        <w:spacing w:lineRule="auto"/>
      </w:pPr>
      <w:r>
        <w:rPr/>
        <w:t xml:space="preserve">Kruisverbanden: elk risico koppelt aan W-xx werkpakket en minimaal één KPI. Bewijs wordt genoemd in de “Check”-stap.</w:t>
      </w:r>
    </w:p>
    <w:p>
      <w:pPr>
        <w:spacing w:lineRule="auto"/>
      </w:pPr>
      <w:r>
        <w:rPr/>
        <w:t xml:space="preserve">Overzicht werkpakketten (W-xx) en KPI’s</w:t>
      </w:r>
    </w:p>
    <w:p>
      <w:pPr>
        <w:numPr>
          <w:ilvl w:val="0"/>
          <w:numId w:val="2"/>
        </w:numPr>
        <w:spacing w:lineRule="auto"/>
      </w:pPr>
      <w:r>
        <w:rPr/>
        <w:t xml:space="preserve">W-01 Personeelsplanning &amp; vervanging → KPI-01 Roosterdekking ≥ 98% per maand</w:t>
      </w:r>
    </w:p>
    <w:p>
      <w:pPr>
        <w:numPr>
          <w:ilvl w:val="0"/>
          <w:numId w:val="2"/>
        </w:numPr>
        <w:spacing w:lineRule="auto"/>
      </w:pPr>
      <w:r>
        <w:rPr/>
        <w:t xml:space="preserve">W-02 Kwaliteit &amp; voedselveiligheid (HACCP) → KPI-02 HACCP-non-conformities ≤ 1/kwartaal; 100% CCP-borging</w:t>
      </w:r>
    </w:p>
    <w:p>
      <w:pPr>
        <w:numPr>
          <w:ilvl w:val="0"/>
          <w:numId w:val="2"/>
        </w:numPr>
        <w:spacing w:lineRule="auto"/>
      </w:pPr>
      <w:r>
        <w:rPr/>
        <w:t xml:space="preserve">W-03 Inkoop &amp; leveranciersbeheer → KPI-03 OTIF ≥ 97%</w:t>
      </w:r>
    </w:p>
    <w:p>
      <w:pPr>
        <w:numPr>
          <w:ilvl w:val="0"/>
          <w:numId w:val="2"/>
        </w:numPr>
        <w:spacing w:lineRule="auto"/>
      </w:pPr>
      <w:r>
        <w:rPr/>
        <w:t xml:space="preserve">W-04 Duurzaamheid &amp; circulariteit → KPI-04 Restafval ≤ 80 g per couvert; -25% voedselverspilling in 12 mnd</w:t>
      </w:r>
    </w:p>
    <w:p>
      <w:pPr>
        <w:numPr>
          <w:ilvl w:val="0"/>
          <w:numId w:val="2"/>
        </w:numPr>
        <w:spacing w:lineRule="auto"/>
      </w:pPr>
      <w:r>
        <w:rPr/>
        <w:t xml:space="preserve">W-05 Allergenen- en dieetbeheer → KPI-05 Allergenen-incidenten = 0; 100% menukaarten voorzien</w:t>
      </w:r>
    </w:p>
    <w:p>
      <w:pPr>
        <w:numPr>
          <w:ilvl w:val="0"/>
          <w:numId w:val="2"/>
        </w:numPr>
        <w:spacing w:lineRule="auto"/>
      </w:pPr>
      <w:r>
        <w:rPr/>
        <w:t xml:space="preserve">W-06 Piek- en eventservice → KPI-06 Wachtrij P95 &lt; 5 min tijdens piek</w:t>
      </w:r>
    </w:p>
    <w:p>
      <w:pPr>
        <w:numPr>
          <w:ilvl w:val="0"/>
          <w:numId w:val="2"/>
        </w:numPr>
        <w:spacing w:lineRule="auto"/>
      </w:pPr>
      <w:r>
        <w:rPr/>
        <w:t xml:space="preserve">W-07 POS/kassasystemen &amp; data → KPI-07 Uptime ≥ 99,9%; transactiefouten &lt; 0,1%</w:t>
      </w:r>
    </w:p>
    <w:p>
      <w:pPr>
        <w:numPr>
          <w:ilvl w:val="0"/>
          <w:numId w:val="2"/>
        </w:numPr>
        <w:spacing w:lineRule="auto"/>
      </w:pPr>
      <w:r>
        <w:rPr/>
        <w:t xml:space="preserve">W-08 Continuïteit (BCP) → KPI-08 2 BCP-tests/jaar; RTO ≤ 2 uur gehaald</w:t>
      </w:r>
    </w:p>
    <w:p>
      <w:pPr>
        <w:numPr>
          <w:ilvl w:val="0"/>
          <w:numId w:val="2"/>
        </w:numPr>
        <w:spacing w:lineRule="auto"/>
      </w:pPr>
      <w:r>
        <w:rPr/>
        <w:t xml:space="preserve">W-09 Gastbeleving → KPI-09 Tevredenheid ≥ 8,3; klachtenafhandeling ≤ 3 werkdagen</w:t>
      </w:r>
    </w:p>
    <w:p>
      <w:pPr>
        <w:numPr>
          <w:ilvl w:val="0"/>
          <w:numId w:val="2"/>
        </w:numPr>
        <w:spacing w:lineRule="auto"/>
      </w:pPr>
      <w:r>
        <w:rPr/>
        <w:t xml:space="preserve">W-10 Wet- en regelgeving/contract → KPI-10 0 kritieke auditbevindingen; &lt; 3 minor/jaar</w:t>
      </w:r>
    </w:p>
    <w:p>
      <w:pPr>
        <w:numPr>
          <w:ilvl w:val="0"/>
          <w:numId w:val="2"/>
        </w:numPr>
        <w:spacing w:lineRule="auto"/>
      </w:pPr>
      <w:r>
        <w:rPr/>
        <w:t xml:space="preserve">W-11 ARBO &amp; veiligheid → KPI-11 0 ongevallen met verzuim; 100% LMRA-dekking</w:t>
      </w:r>
    </w:p>
    <w:p>
      <w:pPr>
        <w:numPr>
          <w:ilvl w:val="0"/>
          <w:numId w:val="2"/>
        </w:numPr>
        <w:spacing w:lineRule="auto"/>
      </w:pPr>
      <w:r>
        <w:rPr/>
        <w:t xml:space="preserve">W-12 Communicatie &amp; stakeholders → KPI-12 Maandelijkse update; wijzigingen binnen 10 werkdagen afgehandeld</w:t>
      </w:r>
    </w:p>
    <w:p>
      <w:pPr>
        <w:spacing w:lineRule="auto"/>
      </w:pPr>
      <w:r>
        <w:rPr/>
        <w:t xml:space="preserve">Risicoregister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(SMART, PDCA + Bewijs)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Ondermanning door ziekte/piek leidt tot sluiting of lange wachtrijen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bouw flexpool van 15% FTE en sluit vervangingspools af binnen 30 dagen na start. Do: toepassen geautomatiseerde roostering met 2-weken rolling forecast; minimaal 98% dekking per maand. Check: maandelijkse roosterdekkingrapportage; absentieanalyse. Act: oorzaak top-3 verzuim mitigeren en poolgrootte bijstellen per kwartaal. Bewijs: roosterdekking-rapport, verzuimdashboard.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Locatiemanager Catering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HACCP-niet-naleving/voedselvergiftiging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100% HACCP-e-learning en praktijkinstructie voor alle medewerkers binnen 14 dagen na indienst. Do: CCP’s (koeltemperatuur, kern, kruisbesmetting) 3x/dag loggen; calibratie thermometers 1x/maand. Check: interne HACCP-audit maandelijks; externe audit per kwartaal. Act: CAPA binnen 5 werkdagen na afwijking. Bewijs: HACCP-logboeken, auditrapporten, trainingsregister.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Kwaliteitsmanager (HACCP)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Leveringsvertraging grondstoffen (OTIF &lt;97%)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dual-sourcing voor top 20 SKU’s, veiligheidsvoorraad 5 dagen voor A-artikelen binnen 45 dagen. Do: wekelijkse bestelritmes, EDI-OTIF monitoring. Check: wekelijkse OTIF-rapportage; backordersanalyse. Act: leveranciers-verbeterplan bij OTIF &lt; 97% binnen 10 werkdagen. Bewijs: OTIF-rapport, voorraadlog.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Voedselverspilling/restafval boven doel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menu-engineering en portie-standaardisatie binnen 60 dagen; implementatie weeg- en logprotocol. Do: dagelijk meten verspilling per productgroep; promotie “verspillingsvrij” opties. Check: maandelijkse vergelijking t.o.v. 80 g/couvert en -25% doel. Act: receptaanpassingen en demand forecasting tuning per maand. Bewijs: weeglog, KPI-dashboard duurzaamheid.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KPI-04,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Allergenen-incident bij gast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100% allergenenlabeling op menukaarten en vitrinekaarten binnen 30 dagen; dubbelcontrole protocol. Do: ask–check–serve procedure en rode polsbandjes voor allergenenbestellingen. Check: steekproef 2x/maand op labeling en naleving. Act: directe RCA en herinstructie bij overtreding binnen 24 uur. Bewijs: labeling-checklists, incidentregister.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Teamleider Front-of-House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KPI-05,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Overmatige wachtrijen tijdens piek (P95 &gt; 5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piekrooster en “line-busting” rol definiëren binnen 30 dagen; extra kassa open bij &gt;15 wachtenden. Do: fast-lane voor grab&amp;go en contactloos betalen promoten. Check: wekelijks wachttijdmetingen (5 meetmomenten/piek). Act: herverdelen personeelsmix of aanbod binnen 7 dagen bij overschrijding. Bewijs: wachttijd-log, personeelsplanning.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KPI-06, 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POS/kassasysteem-storing of transactieverlies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redundant cloud-POS met offline modus en 4G-failover binnen 45 dagen; RPO 0, RTO 30 min. Do: 24/7 monitoring, alerting &gt; SLA; maandelijkse patch windows. Check: uptime-rapporten; hersteltests 1x/kwartaal. Act: probleemmanagement (RCA) binnen 3 werkdagen en wijzigingsplan. Bewijs: monitoring-dashboards, testverslagen.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ICT Lead POS (Uno Automatiseringdiensten B.V.)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KPI-07, 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Continuïteitsverstoring (brand/stroomuitval/gebouw)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BCP met alternatieve bereiding/leverlocaties en noodenergie binnen 60 dagen; RTO ≤ 2 uur. Do: noodscenario-oefeningen en leveranciersfallbacks. Check: 2 BCP-tests/jaar; evaluatie binnen 5 werkdagen. Act: plan bijwerken en contractuele fallback bevestigen. Bewijs: BCP, oefenrapporten, leveranciersbevestigingen.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Delivery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KPI-08,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Onvoldoende gasttevredenheid (&lt;8,3)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meetprogramma (QR-survey) live binnen 30 dagen; NPS/CES targets per locatie. Do: “You said, we did” verbeteracties wekelijks. Check: maandrapportage met trends en root causes. Act: menuaanpassingen/opleidingen binnen 2 weken bij daling &gt;0,3 punt. Bewijs: survey-export, klachtenregister, verbeterrapport.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Experience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KPI-09,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Niet-naleving wet- en regelgeving (o.a. Alcoholwet, allergeneninfo, contract)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compliance-matrix en wettelijke checklist binnen 30 dagen; SVH-certificering barpersoneel 100% binnen 60 dagen. Do: borden/vergunningen zichtbaar; leeftijdscontrole bij alcohol. Check: interne compliance-audit 1x/kwartaal; 0 kritieke bevindingen. Act: CAPA binnen 10 werkdagen. Bewijs: auditchecklists, certificaten, fotolog.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Ongeval/ARBO-incident met verzuim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RI&amp;E en taakrisico-analyses binnen 45 dagen; LMRA verplicht per shift. Do: maandelijkse toolbox en BHV-oefeningen; persoonlijke beschermingsmiddelen 100% beschikbaar. Check: VGM-inspecties 1x/maand; TRIF-rapportage. Act: maatregel binnen 5 werkdagen na incident. Bewijs: RI&amp;E, toolbox-registraties, inspectierapporten.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HSE-coördinator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KPI-11,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Ineffectieve communicatie met opdrachtgever/stakeholders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RACI en communicatiekalender (MT, locatie, leveranciers) binnen 15 dagen. Do: maandrapportages, kwartaal-portfolio review, wijzigingsbeheer met doorlooptijd ≤ 10 werkdagen. Check: SLA/KPI-review maandelijks. Act: escalatie/aanpassing governance binnen 10 werkdagen bij afwijking. Bewijs: notulen, wijzigingslog, KPI-rapportages.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KPI-12, 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Aanvullende risico’s en borgingen (verdieping en integratie met EMVI-thema’s)</w:t>
      </w:r>
    </w:p>
    <w:p>
      <w:pPr>
        <w:numPr>
          <w:ilvl w:val="0"/>
          <w:numId w:val="3"/>
        </w:numPr>
        <w:spacing w:lineRule="auto"/>
      </w:pPr>
      <w:r>
        <w:rPr/>
        <w:t xml:space="preserve">Duurzaamheidsdoelen niet aantoonbaar gehaald (EMVI): wordt geborgd via W-04 en KPI-04; toevoeging: leveranciers met duurzaamheidslabels (MSC/UTZ/RSPO) minimaal 90% binnen 6 maanden. Bewijs: leverancierscertificaten, inkoopdashboard.</w:t>
      </w:r>
    </w:p>
    <w:p>
      <w:pPr>
        <w:numPr>
          <w:ilvl w:val="0"/>
          <w:numId w:val="3"/>
        </w:numPr>
        <w:spacing w:lineRule="auto"/>
      </w:pPr>
      <w:r>
        <w:rPr/>
        <w:t xml:space="preserve">Reputatieschade door social media incident: integratie in W-09 met mediaprotocol binnen 30 dagen; responstijd &lt; 2 uur tijdens kantoortijden. Bewijs: social care log.</w:t>
      </w:r>
    </w:p>
    <w:p>
      <w:pPr>
        <w:numPr>
          <w:ilvl w:val="0"/>
          <w:numId w:val="3"/>
        </w:numPr>
        <w:spacing w:lineRule="auto"/>
      </w:pPr>
      <w:r>
        <w:rPr/>
        <w:t xml:space="preserve">Data-privacy bij POS/loyalty: in W-07 via ISO 27001-controls (logging, toegang 2FA, DPIA binnen 60 dagen). Bewijs: DPIA-rapport, access reviews.</w:t>
      </w:r>
    </w:p>
    <w:p>
      <w:pPr>
        <w:spacing w:lineRule="auto"/>
      </w:pPr>
      <w:r>
        <w:rPr/>
        <w:t xml:space="preserve">PDCA-borging op portfolioniveau</w:t>
      </w:r>
    </w:p>
    <w:p>
      <w:pPr>
        <w:numPr>
          <w:ilvl w:val="0"/>
          <w:numId w:val="4"/>
        </w:numPr>
        <w:spacing w:lineRule="auto"/>
      </w:pPr>
      <w:r>
        <w:rPr/>
        <w:t xml:space="preserve">Plan: Jaarplan Risicobeheersing vastgesteld binnen 30 dagen na ingangsdatum raamovereenkomst, met targets per KPI en risicoprioritering (score ≥12).</w:t>
      </w:r>
    </w:p>
    <w:p>
      <w:pPr>
        <w:numPr>
          <w:ilvl w:val="0"/>
          <w:numId w:val="4"/>
        </w:numPr>
        <w:spacing w:lineRule="auto"/>
      </w:pPr>
      <w:r>
        <w:rPr/>
        <w:t xml:space="preserve">Do: Uitvoering volgens W-xx, met wekelijkse operationele stand-ups en vaste verantwoordelijken.</w:t>
      </w:r>
    </w:p>
    <w:p>
      <w:pPr>
        <w:numPr>
          <w:ilvl w:val="0"/>
          <w:numId w:val="4"/>
        </w:numPr>
        <w:spacing w:lineRule="auto"/>
      </w:pPr>
      <w:r>
        <w:rPr/>
        <w:t xml:space="preserve">Check: Maandelijkse KPI- en risicoreview met opdrachtgever; kwartaal-audits (kwaliteit, voedselveiligheid, ARBO, IT).</w:t>
      </w:r>
    </w:p>
    <w:p>
      <w:pPr>
        <w:numPr>
          <w:ilvl w:val="0"/>
          <w:numId w:val="4"/>
        </w:numPr>
        <w:spacing w:lineRule="auto"/>
      </w:pPr>
      <w:r>
        <w:rPr/>
        <w:t xml:space="preserve">Act: Geprioriteerde verbeter-backlog; doorlooptijd van verbeteracties ≤ 30 dagen; escalatie naar stuurgroep bij structurele overschrijding.</w:t>
      </w:r>
    </w:p>
    <w:p>
      <w:pPr>
        <w:spacing w:lineRule="auto"/>
      </w:pPr>
      <w:r>
        <w:rPr/>
        <w:t xml:space="preserve">Samenhang KPI ↔ Risico ↔ Bewijs</w:t>
      </w:r>
    </w:p>
    <w:p>
      <w:pPr>
        <w:numPr>
          <w:ilvl w:val="0"/>
          <w:numId w:val="5"/>
        </w:numPr>
        <w:spacing w:lineRule="auto"/>
      </w:pPr>
      <w:r>
        <w:rPr/>
        <w:t xml:space="preserve">Door per risico expliciet de KPI en het W-pakket te koppelen en in “Check” meetbare bewijzen te benoemen (rapporten, logs, audits), is prestatie aantoonbaar en toetsbaar. Dit ondersteunt EMVI-criteria Kwaliteit, Duurzaamheid en Risicobeheersing.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